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B" w:rsidRDefault="00C52E5B" w:rsidP="00C52E5B">
      <w:pPr>
        <w:jc w:val="both"/>
        <w:rPr>
          <w:b/>
        </w:rPr>
      </w:pPr>
      <w:r>
        <w:rPr>
          <w:b/>
        </w:rPr>
        <w:t>COMPTE RENDU REUNION DU CONSEIL MUNICIPAL DU 06 JUILLET 2016</w:t>
      </w:r>
    </w:p>
    <w:p w:rsidR="00C52E5B" w:rsidRDefault="00C52E5B" w:rsidP="00C52E5B">
      <w:pPr>
        <w:jc w:val="both"/>
        <w:rPr>
          <w:szCs w:val="20"/>
        </w:rPr>
      </w:pPr>
    </w:p>
    <w:p w:rsidR="00C52E5B" w:rsidRDefault="00C52E5B" w:rsidP="00C52E5B">
      <w:pPr>
        <w:jc w:val="both"/>
        <w:rPr>
          <w:szCs w:val="20"/>
        </w:rPr>
      </w:pPr>
      <w:r>
        <w:rPr>
          <w:szCs w:val="20"/>
        </w:rPr>
        <w:t>L’an deux mille seize, le Six Juillet à dix-huit heures quinze, le Conseil Municipal de la Commune de Saint Symphorien Sous Chomérac s’est réuni, sous la présidence de Madame PALIX Dominique, Maire.</w:t>
      </w:r>
    </w:p>
    <w:p w:rsidR="00C52E5B" w:rsidRDefault="00C52E5B" w:rsidP="00C52E5B">
      <w:pPr>
        <w:jc w:val="both"/>
        <w:rPr>
          <w:szCs w:val="20"/>
        </w:rPr>
      </w:pPr>
    </w:p>
    <w:p w:rsidR="00C52E5B" w:rsidRDefault="00C52E5B" w:rsidP="00C52E5B">
      <w:pPr>
        <w:jc w:val="both"/>
      </w:pPr>
      <w:r>
        <w:rPr>
          <w:b/>
        </w:rPr>
        <w:t>PRESENTS</w:t>
      </w:r>
      <w:r>
        <w:t xml:space="preserve"> : Mmes PALIX Dominique – BOUCHET Bernadette – MENIAUD Aline -  PALAORO Andréa - PLATZ Cécile – TAVERNIER Delphine -   Mrs BASTIDE Alain – DAGORN Jean- Luc - FEROUSSIER Jean-Michel  - MOURGUET Patrick – PETERMANN Frédéric -  VIGNAL Dominique  - </w:t>
      </w:r>
    </w:p>
    <w:p w:rsidR="00C52E5B" w:rsidRDefault="00C52E5B" w:rsidP="00C52E5B">
      <w:pPr>
        <w:jc w:val="both"/>
      </w:pPr>
      <w:r>
        <w:tab/>
      </w:r>
    </w:p>
    <w:p w:rsidR="00C52E5B" w:rsidRDefault="00C52E5B" w:rsidP="00C52E5B">
      <w:pPr>
        <w:jc w:val="both"/>
        <w:rPr>
          <w:i/>
        </w:rPr>
      </w:pPr>
      <w:r>
        <w:rPr>
          <w:b/>
        </w:rPr>
        <w:t>ABSENTS EXCUSES</w:t>
      </w:r>
      <w:r>
        <w:t xml:space="preserve"> : Mme BROET Sarah – Mr MAURY Thierry -  </w:t>
      </w:r>
    </w:p>
    <w:p w:rsidR="00C52E5B" w:rsidRDefault="00C52E5B" w:rsidP="00C52E5B">
      <w:pPr>
        <w:jc w:val="both"/>
        <w:rPr>
          <w:i/>
        </w:rPr>
      </w:pPr>
    </w:p>
    <w:p w:rsidR="00C52E5B" w:rsidRDefault="00C52E5B" w:rsidP="00C52E5B">
      <w:pPr>
        <w:jc w:val="both"/>
      </w:pPr>
      <w:r>
        <w:rPr>
          <w:b/>
          <w:bCs/>
        </w:rPr>
        <w:t>SECRETAIRE DE SEANCE</w:t>
      </w:r>
      <w:r>
        <w:t xml:space="preserve"> : Mr PETERMANN Frédéric </w:t>
      </w:r>
    </w:p>
    <w:p w:rsidR="00C52E5B" w:rsidRDefault="00C52E5B" w:rsidP="00C52E5B">
      <w:pPr>
        <w:jc w:val="both"/>
        <w:rPr>
          <w:b/>
        </w:rPr>
      </w:pPr>
    </w:p>
    <w:p w:rsidR="00C52E5B" w:rsidRDefault="00C52E5B" w:rsidP="00C52E5B">
      <w:pPr>
        <w:ind w:left="2410" w:hanging="2410"/>
        <w:jc w:val="both"/>
      </w:pPr>
      <w:r>
        <w:rPr>
          <w:b/>
        </w:rPr>
        <w:t>ORDRE DU JOUR</w:t>
      </w:r>
      <w:r>
        <w:t xml:space="preserve"> : </w:t>
      </w:r>
      <w:r>
        <w:tab/>
        <w:t xml:space="preserve">  </w:t>
      </w:r>
    </w:p>
    <w:p w:rsidR="00C52E5B" w:rsidRDefault="00C52E5B" w:rsidP="00C52E5B">
      <w:pPr>
        <w:ind w:left="2410" w:hanging="2410"/>
        <w:jc w:val="both"/>
      </w:pPr>
      <w:r>
        <w:t xml:space="preserve"> </w:t>
      </w:r>
    </w:p>
    <w:p w:rsidR="00C52E5B" w:rsidRDefault="00C52E5B" w:rsidP="00C52E5B">
      <w:pPr>
        <w:jc w:val="both"/>
      </w:pPr>
      <w:r>
        <w:t>En préambule du Conseil Municipal, Monsieur BUTIN Jean-Baptiste, chargé de mission NATURA 2000 à la Mairie du Pouzin viendra faire une présentation de ce document.</w:t>
      </w:r>
    </w:p>
    <w:p w:rsidR="00C52E5B" w:rsidRDefault="00C52E5B" w:rsidP="00C52E5B">
      <w:r>
        <w:t xml:space="preserve">                </w:t>
      </w:r>
    </w:p>
    <w:p w:rsidR="00C52E5B" w:rsidRDefault="00C52E5B" w:rsidP="00C52E5B">
      <w:pPr>
        <w:numPr>
          <w:ilvl w:val="0"/>
          <w:numId w:val="1"/>
        </w:numPr>
        <w:jc w:val="both"/>
      </w:pPr>
      <w:r>
        <w:t>Décision modificative n°2 (commune),</w:t>
      </w:r>
    </w:p>
    <w:p w:rsidR="00C52E5B" w:rsidRDefault="00C52E5B" w:rsidP="00C52E5B">
      <w:pPr>
        <w:numPr>
          <w:ilvl w:val="0"/>
          <w:numId w:val="1"/>
        </w:numPr>
        <w:jc w:val="both"/>
      </w:pPr>
      <w:r>
        <w:t>Répartition Fonds national de péréquation des ressources intercommunales et communales (FPIC),</w:t>
      </w:r>
    </w:p>
    <w:p w:rsidR="00C52E5B" w:rsidRDefault="00C52E5B" w:rsidP="00C52E5B">
      <w:pPr>
        <w:numPr>
          <w:ilvl w:val="0"/>
          <w:numId w:val="1"/>
        </w:numPr>
        <w:jc w:val="both"/>
      </w:pPr>
      <w:r>
        <w:t>Création et approbation des statuts du Syndicat Mixte du Schéma de Cohérence Territoriale (SCOT),</w:t>
      </w:r>
    </w:p>
    <w:p w:rsidR="00C52E5B" w:rsidRDefault="00C52E5B" w:rsidP="00C52E5B">
      <w:pPr>
        <w:numPr>
          <w:ilvl w:val="0"/>
          <w:numId w:val="1"/>
        </w:numPr>
        <w:jc w:val="both"/>
      </w:pPr>
      <w:r>
        <w:t>Participation financière activités périscolaires,</w:t>
      </w:r>
    </w:p>
    <w:p w:rsidR="00C52E5B" w:rsidRDefault="00C52E5B" w:rsidP="00C52E5B">
      <w:pPr>
        <w:numPr>
          <w:ilvl w:val="0"/>
          <w:numId w:val="1"/>
        </w:numPr>
        <w:jc w:val="both"/>
      </w:pPr>
      <w:r>
        <w:t>Rapport service assainissement année 2015,</w:t>
      </w:r>
    </w:p>
    <w:p w:rsidR="00C52E5B" w:rsidRDefault="00C52E5B" w:rsidP="00C52E5B">
      <w:pPr>
        <w:numPr>
          <w:ilvl w:val="0"/>
          <w:numId w:val="1"/>
        </w:numPr>
        <w:jc w:val="both"/>
      </w:pPr>
      <w:r>
        <w:t>Tarif assainissement,</w:t>
      </w:r>
    </w:p>
    <w:p w:rsidR="00C52E5B" w:rsidRDefault="00C52E5B" w:rsidP="00FB2654">
      <w:pPr>
        <w:numPr>
          <w:ilvl w:val="0"/>
          <w:numId w:val="1"/>
        </w:numPr>
        <w:jc w:val="both"/>
      </w:pPr>
      <w:r>
        <w:t>Tarif salle des fêtes en rapport au nouveau fonctionnement (restauration scolaire),</w:t>
      </w:r>
    </w:p>
    <w:p w:rsidR="00C52E5B" w:rsidRPr="00EA6230" w:rsidRDefault="00C52E5B" w:rsidP="00C52E5B">
      <w:pPr>
        <w:numPr>
          <w:ilvl w:val="0"/>
          <w:numId w:val="1"/>
        </w:numPr>
        <w:jc w:val="both"/>
      </w:pPr>
      <w:r>
        <w:t>Questions diverses.</w:t>
      </w:r>
    </w:p>
    <w:p w:rsidR="00C52E5B" w:rsidRDefault="00C52E5B" w:rsidP="00C52E5B"/>
    <w:p w:rsidR="00C52E5B" w:rsidRDefault="00C52E5B" w:rsidP="00C52E5B">
      <w:r>
        <w:t xml:space="preserve"> ----------------------------------------------------------------------------------------------------------------</w:t>
      </w:r>
    </w:p>
    <w:p w:rsidR="00C52E5B" w:rsidRDefault="00C52E5B" w:rsidP="00C52E5B"/>
    <w:p w:rsidR="00FF154B" w:rsidRDefault="00C52E5B" w:rsidP="00C52E5B">
      <w:r>
        <w:t xml:space="preserve">Madame le Maire rappelle que lors de la séance du 13 Avril 2016, le Conseil Municipal avait donné un avis favorable sur le projet </w:t>
      </w:r>
      <w:proofErr w:type="spellStart"/>
      <w:r>
        <w:t>Natura</w:t>
      </w:r>
      <w:proofErr w:type="spellEnd"/>
      <w:r>
        <w:t xml:space="preserve"> 2000</w:t>
      </w:r>
      <w:r w:rsidR="00FF154B">
        <w:t>, il avait cependant souhaité l’intervention du directeur du comité de pilotage.</w:t>
      </w:r>
    </w:p>
    <w:p w:rsidR="00F43B4A" w:rsidRDefault="00FF154B" w:rsidP="00C52E5B">
      <w:r>
        <w:t>Madame le Maire laisse donc la parole</w:t>
      </w:r>
      <w:r w:rsidR="00A2133B">
        <w:t xml:space="preserve"> à </w:t>
      </w:r>
      <w:r w:rsidR="00C52E5B">
        <w:t xml:space="preserve">Monsieur BUTIN Jean-Baptiste </w:t>
      </w:r>
      <w:r w:rsidR="00A2133B">
        <w:t xml:space="preserve">qui dans un premier temps rappelle </w:t>
      </w:r>
      <w:r w:rsidR="00F43B4A">
        <w:t xml:space="preserve">ce qu’est un site </w:t>
      </w:r>
      <w:r w:rsidR="00C52E5B">
        <w:t>NATURA 2000</w:t>
      </w:r>
      <w:r w:rsidR="00F43B4A">
        <w:t xml:space="preserve">. Sur notre commune les gorges de la Payre </w:t>
      </w:r>
    </w:p>
    <w:p w:rsidR="00F43B4A" w:rsidRDefault="00F43B4A" w:rsidP="00C52E5B">
      <w:r>
        <w:t xml:space="preserve">ont été retenues pour une superficie de 35 hectares avec des castors des loutres et des </w:t>
      </w:r>
      <w:proofErr w:type="gramStart"/>
      <w:r>
        <w:t>barbeaux ,</w:t>
      </w:r>
      <w:proofErr w:type="gramEnd"/>
      <w:r>
        <w:t xml:space="preserve"> la grotte de l’</w:t>
      </w:r>
      <w:proofErr w:type="spellStart"/>
      <w:r>
        <w:t>Eschelette</w:t>
      </w:r>
      <w:proofErr w:type="spellEnd"/>
      <w:r>
        <w:t xml:space="preserve"> quant à elle n’a pas été retenue elle abritait  il y a quelques années des chauves-souris.</w:t>
      </w:r>
    </w:p>
    <w:p w:rsidR="00F43B4A" w:rsidRDefault="00F43B4A" w:rsidP="00C52E5B">
      <w:r>
        <w:t xml:space="preserve">Un débat s’ensuit sur les incidences de cette classification, les objectifs et les financements possibles. </w:t>
      </w:r>
    </w:p>
    <w:p w:rsidR="00F43B4A" w:rsidRDefault="00F43B4A" w:rsidP="00C52E5B">
      <w:r>
        <w:t>Monsieur BUTIN propose également des sorties sur le terrain dans le cadre d’animations avec les jeunes.</w:t>
      </w:r>
    </w:p>
    <w:p w:rsidR="00F43B4A" w:rsidRDefault="00CF107F" w:rsidP="00C52E5B">
      <w:r>
        <w:t>Monsieur BUTIN est remercié pour sa présentation très claire.</w:t>
      </w:r>
    </w:p>
    <w:p w:rsidR="00CF107F" w:rsidRDefault="00CF107F" w:rsidP="00C52E5B"/>
    <w:p w:rsidR="00CF107F" w:rsidRDefault="00CF107F" w:rsidP="00C52E5B">
      <w:r>
        <w:t>Avant de passer à l’ordre du jour le compte rendu du dernier conseil municipal est approuvé à l’unanimité.</w:t>
      </w:r>
    </w:p>
    <w:p w:rsidR="00CF107F" w:rsidRDefault="00CF107F" w:rsidP="00C52E5B"/>
    <w:p w:rsidR="001C329F" w:rsidRDefault="001C329F" w:rsidP="001C329F">
      <w:r>
        <w:tab/>
      </w:r>
      <w:r>
        <w:tab/>
      </w:r>
      <w:r w:rsidRPr="0071243B">
        <w:rPr>
          <w:b/>
          <w:u w:val="single"/>
        </w:rPr>
        <w:t>Décision Modificative N° 2 Commune</w:t>
      </w:r>
      <w:r>
        <w:t> : des écritures d’ordre ont été omises sur le budget primitif, il y a donc lieu de le modifier ainsi :</w:t>
      </w:r>
    </w:p>
    <w:p w:rsidR="001C329F" w:rsidRDefault="001C329F" w:rsidP="001C329F">
      <w:pPr>
        <w:spacing w:line="287" w:lineRule="exact"/>
        <w:rPr>
          <w:b/>
          <w:bCs/>
        </w:rPr>
      </w:pPr>
    </w:p>
    <w:p w:rsidR="001C329F" w:rsidRDefault="001C329F" w:rsidP="001C329F">
      <w:pPr>
        <w:spacing w:line="287" w:lineRule="exact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693"/>
      </w:tblGrid>
      <w:tr w:rsidR="001C329F" w:rsidRPr="00A20956" w:rsidTr="004206F6">
        <w:tc>
          <w:tcPr>
            <w:tcW w:w="482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20956">
              <w:rPr>
                <w:rFonts w:ascii="Calibri" w:eastAsia="Calibri" w:hAnsi="Calibri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241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20956">
              <w:rPr>
                <w:rFonts w:ascii="Calibri" w:eastAsia="Calibri" w:hAnsi="Calibri"/>
                <w:b/>
                <w:bCs/>
                <w:sz w:val="22"/>
                <w:szCs w:val="22"/>
              </w:rPr>
              <w:t>Diminution sur crédits ouverts</w:t>
            </w:r>
          </w:p>
        </w:tc>
        <w:tc>
          <w:tcPr>
            <w:tcW w:w="2693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20956">
              <w:rPr>
                <w:rFonts w:ascii="Calibri" w:eastAsia="Calibri" w:hAnsi="Calibri"/>
                <w:b/>
                <w:bCs/>
                <w:sz w:val="22"/>
                <w:szCs w:val="22"/>
              </w:rPr>
              <w:t>Augmentation sur crédits ouverts</w:t>
            </w:r>
          </w:p>
        </w:tc>
      </w:tr>
      <w:tr w:rsidR="001C329F" w:rsidRPr="00A20956" w:rsidTr="004206F6">
        <w:tc>
          <w:tcPr>
            <w:tcW w:w="482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D 023 : Virement section investissement</w:t>
            </w:r>
          </w:p>
        </w:tc>
        <w:tc>
          <w:tcPr>
            <w:tcW w:w="241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2693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1 200,00 €</w:t>
            </w:r>
          </w:p>
        </w:tc>
      </w:tr>
      <w:tr w:rsidR="001C329F" w:rsidRPr="00A20956" w:rsidTr="004206F6">
        <w:tc>
          <w:tcPr>
            <w:tcW w:w="4820" w:type="dxa"/>
            <w:shd w:val="clear" w:color="auto" w:fill="auto"/>
          </w:tcPr>
          <w:p w:rsidR="001C329F" w:rsidRPr="00D604C1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604C1">
              <w:rPr>
                <w:rFonts w:ascii="Calibri" w:eastAsia="Calibri" w:hAnsi="Calibri"/>
                <w:bCs/>
                <w:sz w:val="22"/>
                <w:szCs w:val="22"/>
              </w:rPr>
              <w:t>D 13913 : Département</w:t>
            </w:r>
          </w:p>
        </w:tc>
        <w:tc>
          <w:tcPr>
            <w:tcW w:w="241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2693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1 200,00 €</w:t>
            </w:r>
          </w:p>
        </w:tc>
      </w:tr>
      <w:tr w:rsidR="001C329F" w:rsidRPr="00A20956" w:rsidTr="004206F6">
        <w:tc>
          <w:tcPr>
            <w:tcW w:w="482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 021 : Virement de la section de fonctionnement</w:t>
            </w:r>
          </w:p>
        </w:tc>
        <w:tc>
          <w:tcPr>
            <w:tcW w:w="241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2693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1 200,00 €    </w:t>
            </w:r>
          </w:p>
        </w:tc>
      </w:tr>
      <w:tr w:rsidR="001C329F" w:rsidRPr="00D604C1" w:rsidTr="004206F6">
        <w:tc>
          <w:tcPr>
            <w:tcW w:w="4820" w:type="dxa"/>
            <w:shd w:val="clear" w:color="auto" w:fill="auto"/>
          </w:tcPr>
          <w:p w:rsidR="001C329F" w:rsidRPr="00D604C1" w:rsidRDefault="001C329F" w:rsidP="001C329F">
            <w:pPr>
              <w:spacing w:line="287" w:lineRule="exact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 777 : Subventions Transférées au résultat</w:t>
            </w:r>
          </w:p>
        </w:tc>
        <w:tc>
          <w:tcPr>
            <w:tcW w:w="2410" w:type="dxa"/>
            <w:shd w:val="clear" w:color="auto" w:fill="auto"/>
          </w:tcPr>
          <w:p w:rsidR="001C329F" w:rsidRPr="00A20956" w:rsidRDefault="001C329F" w:rsidP="004206F6">
            <w:pPr>
              <w:spacing w:line="287" w:lineRule="exac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2693" w:type="dxa"/>
            <w:shd w:val="clear" w:color="auto" w:fill="auto"/>
          </w:tcPr>
          <w:p w:rsidR="001C329F" w:rsidRPr="00D604C1" w:rsidRDefault="001C329F" w:rsidP="004206F6">
            <w:pPr>
              <w:spacing w:line="287" w:lineRule="exact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1 200,00</w:t>
            </w:r>
            <w:r w:rsidRPr="00D604C1">
              <w:rPr>
                <w:rFonts w:ascii="Calibri" w:eastAsia="Calibri" w:hAnsi="Calibri"/>
                <w:bCs/>
                <w:sz w:val="22"/>
                <w:szCs w:val="22"/>
              </w:rPr>
              <w:t xml:space="preserve"> €</w:t>
            </w:r>
          </w:p>
        </w:tc>
      </w:tr>
    </w:tbl>
    <w:p w:rsidR="001C329F" w:rsidRDefault="001C329F" w:rsidP="001C329F">
      <w:pPr>
        <w:jc w:val="both"/>
      </w:pPr>
    </w:p>
    <w:p w:rsidR="001C329F" w:rsidRPr="00925212" w:rsidRDefault="001C329F" w:rsidP="001C329F">
      <w:pPr>
        <w:jc w:val="both"/>
      </w:pPr>
    </w:p>
    <w:p w:rsidR="001C329F" w:rsidRDefault="001C329F" w:rsidP="001C329F">
      <w:r>
        <w:t>Cette délibération est approuvée à l’unanimité des membres présents.</w:t>
      </w:r>
    </w:p>
    <w:p w:rsidR="001C329F" w:rsidRDefault="001C329F" w:rsidP="001C329F"/>
    <w:p w:rsidR="001C329F" w:rsidRPr="0071243B" w:rsidRDefault="001C329F" w:rsidP="001C329F">
      <w:pPr>
        <w:rPr>
          <w:b/>
          <w:u w:val="single"/>
        </w:rPr>
      </w:pPr>
      <w:r>
        <w:tab/>
      </w:r>
      <w:r>
        <w:tab/>
      </w:r>
      <w:r w:rsidRPr="0071243B">
        <w:rPr>
          <w:b/>
          <w:u w:val="single"/>
        </w:rPr>
        <w:t>Répartition Fonds national de péréquation des ressources intercommunales et communales (FPIC) :</w:t>
      </w:r>
    </w:p>
    <w:p w:rsidR="001C329F" w:rsidRDefault="001C329F" w:rsidP="001C329F">
      <w:pPr>
        <w:spacing w:line="287" w:lineRule="exact"/>
        <w:ind w:firstLine="708"/>
        <w:rPr>
          <w:bCs/>
        </w:rPr>
      </w:pPr>
      <w:r>
        <w:rPr>
          <w:bCs/>
        </w:rPr>
        <w:t xml:space="preserve">Madame le Maire informe le Conseil Municipal de la répartition du </w:t>
      </w:r>
      <w:r w:rsidRPr="007B0226">
        <w:rPr>
          <w:bCs/>
        </w:rPr>
        <w:t>Fonds National de Péréquation des ressources Intercommunales et communales</w:t>
      </w:r>
      <w:r>
        <w:rPr>
          <w:bCs/>
        </w:rPr>
        <w:t xml:space="preserve"> votée en Conseil Communautaire le 27 juin 2016 par la Communauté de Communes Barrès-Coiron.</w:t>
      </w:r>
    </w:p>
    <w:p w:rsidR="001C329F" w:rsidRDefault="001C329F" w:rsidP="001C329F">
      <w:pPr>
        <w:spacing w:line="287" w:lineRule="exact"/>
        <w:ind w:firstLine="708"/>
        <w:rPr>
          <w:bCs/>
        </w:rPr>
      </w:pP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ab/>
        <w:t>La prise en charge retenue par la Communauté de Communes Barrès-Coiron est la répartition dérogatoire libre</w:t>
      </w:r>
    </w:p>
    <w:p w:rsidR="001C329F" w:rsidRDefault="001C329F" w:rsidP="001C32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7" w:lineRule="exact"/>
        <w:textAlignment w:val="baseline"/>
        <w:rPr>
          <w:bCs/>
        </w:rPr>
      </w:pPr>
      <w:r>
        <w:rPr>
          <w:bCs/>
        </w:rPr>
        <w:t xml:space="preserve">Enveloppe globale du </w:t>
      </w:r>
      <w:r w:rsidRPr="007B0226">
        <w:rPr>
          <w:bCs/>
        </w:rPr>
        <w:t>Fonds National de Péréquation des ressources Intercommunales et communales</w:t>
      </w:r>
      <w:r>
        <w:rPr>
          <w:bCs/>
        </w:rPr>
        <w:t xml:space="preserve"> = 1 848 314 €</w:t>
      </w:r>
    </w:p>
    <w:p w:rsidR="001C329F" w:rsidRDefault="001C329F" w:rsidP="001C32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7" w:lineRule="exact"/>
        <w:textAlignment w:val="baseline"/>
        <w:rPr>
          <w:bCs/>
        </w:rPr>
      </w:pPr>
      <w:r>
        <w:rPr>
          <w:bCs/>
        </w:rPr>
        <w:t xml:space="preserve">A la charge de la Communauté de Communes </w:t>
      </w:r>
      <w:proofErr w:type="spellStart"/>
      <w:r>
        <w:rPr>
          <w:bCs/>
        </w:rPr>
        <w:t>Barrès-coiron</w:t>
      </w:r>
      <w:proofErr w:type="spellEnd"/>
      <w:r>
        <w:rPr>
          <w:bCs/>
        </w:rPr>
        <w:t xml:space="preserve"> = 65 % soit 1 208 314 €</w:t>
      </w:r>
    </w:p>
    <w:p w:rsidR="001C329F" w:rsidRDefault="001C329F" w:rsidP="001C32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7" w:lineRule="exact"/>
        <w:textAlignment w:val="baseline"/>
        <w:rPr>
          <w:bCs/>
        </w:rPr>
      </w:pPr>
      <w:r>
        <w:rPr>
          <w:bCs/>
        </w:rPr>
        <w:t xml:space="preserve">A la charge des Communes = 35 % soit 640 000 € répartis ainsi : </w:t>
      </w:r>
    </w:p>
    <w:p w:rsidR="001C329F" w:rsidRDefault="001C329F" w:rsidP="001C329F">
      <w:pPr>
        <w:spacing w:line="287" w:lineRule="exact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2201"/>
        <w:gridCol w:w="2119"/>
      </w:tblGrid>
      <w:tr w:rsidR="001C329F" w:rsidRPr="00F41226" w:rsidTr="001C329F">
        <w:trPr>
          <w:jc w:val="center"/>
        </w:trPr>
        <w:tc>
          <w:tcPr>
            <w:tcW w:w="4742" w:type="dxa"/>
            <w:vMerge w:val="restart"/>
            <w:shd w:val="pct10" w:color="auto" w:fill="FFFFFF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</w:p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 w:rsidRPr="00F41226">
              <w:rPr>
                <w:rFonts w:ascii="Calibri" w:eastAsia="Calibri" w:hAnsi="Calibri"/>
                <w:b/>
              </w:rPr>
              <w:t>Communes</w:t>
            </w:r>
          </w:p>
        </w:tc>
        <w:tc>
          <w:tcPr>
            <w:tcW w:w="4320" w:type="dxa"/>
            <w:gridSpan w:val="2"/>
            <w:shd w:val="pct10" w:color="auto" w:fill="FFFFFF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FPIC 2016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vMerge/>
            <w:shd w:val="pct10" w:color="auto" w:fill="FFFFFF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2201" w:type="dxa"/>
            <w:shd w:val="pct10" w:color="auto" w:fill="FFFFFF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 w:rsidRPr="00F41226">
              <w:rPr>
                <w:rFonts w:ascii="Calibri" w:eastAsia="Calibri" w:hAnsi="Calibri"/>
                <w:b/>
              </w:rPr>
              <w:t>Montant</w:t>
            </w:r>
          </w:p>
        </w:tc>
        <w:tc>
          <w:tcPr>
            <w:tcW w:w="2119" w:type="dxa"/>
            <w:shd w:val="pct10" w:color="auto" w:fill="FFFFFF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 w:rsidRPr="00F41226">
              <w:rPr>
                <w:rFonts w:ascii="Calibri" w:eastAsia="Calibri" w:hAnsi="Calibri"/>
                <w:b/>
              </w:rPr>
              <w:t>Pourcentage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BAIX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41 256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6,45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CRUAS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297 992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46,56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MEYSSE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111 936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17,49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ROCHEMAURE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82 915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12,96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SAINT BAUZILE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12 978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2,03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SAINT LAGER BRESSAC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28 426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4,44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SAINT MARTIN  DUR LAVEZON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13 598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2,12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SAINT PIERRE LA ROCHE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1 504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0,23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SAINT SYMPHORIEN SOUS CHOMERAC</w:t>
            </w:r>
          </w:p>
        </w:tc>
        <w:tc>
          <w:tcPr>
            <w:tcW w:w="2201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21 970 </w:t>
            </w:r>
            <w:r w:rsidRPr="00F41226">
              <w:rPr>
                <w:rFonts w:ascii="Calibri" w:eastAsia="Calibri" w:hAnsi="Calibri"/>
                <w:b/>
              </w:rPr>
              <w:t>€</w:t>
            </w:r>
          </w:p>
        </w:tc>
        <w:tc>
          <w:tcPr>
            <w:tcW w:w="2119" w:type="dxa"/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3,43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SAINT VINCENT DE BARRES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27 425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4,29</w:t>
            </w:r>
            <w:r w:rsidRPr="00F41226">
              <w:rPr>
                <w:rFonts w:ascii="Calibri" w:eastAsia="Calibri" w:hAnsi="Calibri"/>
              </w:rPr>
              <w:t xml:space="preserve">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pct5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 w:rsidRPr="00F41226">
              <w:rPr>
                <w:rFonts w:ascii="Calibri" w:eastAsia="Calibri" w:hAnsi="Calibri"/>
                <w:b/>
              </w:rPr>
              <w:t>Sous total</w:t>
            </w:r>
          </w:p>
        </w:tc>
        <w:tc>
          <w:tcPr>
            <w:tcW w:w="2201" w:type="dxa"/>
            <w:shd w:val="pct5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640 000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  <w:tc>
          <w:tcPr>
            <w:tcW w:w="2119" w:type="dxa"/>
            <w:shd w:val="pct5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100,00 %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:rsidR="001C329F" w:rsidRPr="00F41226" w:rsidRDefault="001C329F" w:rsidP="004206F6">
            <w:pPr>
              <w:jc w:val="both"/>
              <w:rPr>
                <w:rFonts w:ascii="Calibri" w:eastAsia="Calibri" w:hAnsi="Calibri"/>
              </w:rPr>
            </w:pPr>
            <w:r w:rsidRPr="00F41226">
              <w:rPr>
                <w:rFonts w:ascii="Calibri" w:eastAsia="Calibri" w:hAnsi="Calibri"/>
              </w:rPr>
              <w:t>CDC BARRES-COIRON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1 208 314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</w:tr>
      <w:tr w:rsidR="001C329F" w:rsidRPr="00F41226" w:rsidTr="001C329F">
        <w:trPr>
          <w:jc w:val="center"/>
        </w:trPr>
        <w:tc>
          <w:tcPr>
            <w:tcW w:w="4742" w:type="dxa"/>
            <w:shd w:val="pct5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 w:rsidRPr="00F41226">
              <w:rPr>
                <w:rFonts w:ascii="Calibri" w:eastAsia="Calibri" w:hAnsi="Calibri"/>
                <w:b/>
              </w:rPr>
              <w:t>TOTAL</w:t>
            </w:r>
          </w:p>
        </w:tc>
        <w:tc>
          <w:tcPr>
            <w:tcW w:w="4320" w:type="dxa"/>
            <w:gridSpan w:val="2"/>
            <w:shd w:val="pct5" w:color="auto" w:fill="auto"/>
          </w:tcPr>
          <w:p w:rsidR="001C329F" w:rsidRPr="00F41226" w:rsidRDefault="001C329F" w:rsidP="004206F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1 848 314</w:t>
            </w:r>
            <w:r w:rsidRPr="00F41226">
              <w:rPr>
                <w:rFonts w:ascii="Calibri" w:eastAsia="Calibri" w:hAnsi="Calibri"/>
                <w:b/>
              </w:rPr>
              <w:t xml:space="preserve"> €</w:t>
            </w:r>
          </w:p>
        </w:tc>
      </w:tr>
    </w:tbl>
    <w:p w:rsidR="001C329F" w:rsidRDefault="001C329F" w:rsidP="001C329F">
      <w:pPr>
        <w:jc w:val="both"/>
      </w:pPr>
    </w:p>
    <w:p w:rsidR="001C329F" w:rsidRDefault="001C329F" w:rsidP="001C329F">
      <w:pPr>
        <w:jc w:val="both"/>
      </w:pPr>
      <w:r>
        <w:t xml:space="preserve">Le Conseil Municipal après délibération à l’unanimité : </w:t>
      </w:r>
    </w:p>
    <w:p w:rsidR="001C329F" w:rsidRDefault="001C329F" w:rsidP="001C329F">
      <w:pPr>
        <w:jc w:val="both"/>
      </w:pPr>
    </w:p>
    <w:p w:rsidR="001C329F" w:rsidRDefault="001C329F" w:rsidP="001C329F">
      <w:pPr>
        <w:jc w:val="both"/>
      </w:pPr>
      <w:r>
        <w:t>APPROUVE ce tableau de répartition</w:t>
      </w:r>
    </w:p>
    <w:p w:rsidR="001C329F" w:rsidRDefault="001C329F" w:rsidP="001C329F">
      <w:pPr>
        <w:jc w:val="both"/>
      </w:pPr>
      <w:r>
        <w:t>AUTORISE Madame le Maire à signer tout document nécessaire à l’exécution de la présente délibération.</w:t>
      </w:r>
    </w:p>
    <w:p w:rsidR="001C329F" w:rsidRPr="0071243B" w:rsidRDefault="001C329F" w:rsidP="001C329F">
      <w:pPr>
        <w:spacing w:line="287" w:lineRule="exact"/>
        <w:ind w:firstLine="1276"/>
        <w:rPr>
          <w:b/>
          <w:u w:val="single"/>
        </w:rPr>
      </w:pPr>
      <w:r w:rsidRPr="0071243B">
        <w:rPr>
          <w:b/>
          <w:u w:val="single"/>
        </w:rPr>
        <w:t xml:space="preserve">Création et approbation des statuts du Syndicat Mixte du Schéma de Cohérence Territoriale (SCOT) : </w:t>
      </w:r>
    </w:p>
    <w:p w:rsidR="001C329F" w:rsidRPr="0071243B" w:rsidRDefault="001C329F" w:rsidP="001C329F">
      <w:pPr>
        <w:spacing w:line="287" w:lineRule="exact"/>
        <w:rPr>
          <w:b/>
          <w:u w:val="single"/>
        </w:rPr>
      </w:pPr>
    </w:p>
    <w:p w:rsidR="001C329F" w:rsidRDefault="001C329F" w:rsidP="001C329F">
      <w:pPr>
        <w:spacing w:line="287" w:lineRule="exact"/>
        <w:rPr>
          <w:bCs/>
        </w:rPr>
      </w:pPr>
      <w:r w:rsidRPr="00F56386">
        <w:rPr>
          <w:bCs/>
        </w:rPr>
        <w:t>Vu le Code Général des Collectivités Territoriales et notamment son article L.5214-27,</w:t>
      </w: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lastRenderedPageBreak/>
        <w:t>Vu les statuts de la Communauté de Communes Barrès-Coiron et notamment l’article 5.1.1 selon lequel la Communauté de Communes est compétente pour élaborer, mettre en œuvre, assurer le suivi et la révision d’un Schéma de Cohérence Territoriale (</w:t>
      </w:r>
      <w:proofErr w:type="spellStart"/>
      <w:r>
        <w:rPr>
          <w:bCs/>
        </w:rPr>
        <w:t>SCoT</w:t>
      </w:r>
      <w:proofErr w:type="spellEnd"/>
      <w:r>
        <w:rPr>
          <w:bCs/>
        </w:rPr>
        <w:t>), conformément à l’article L.5214-16 du Code Général des Collectivités Territoriales,</w:t>
      </w: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 xml:space="preserve">Vu l’article 2 des statuts du syndicat mixte du </w:t>
      </w:r>
      <w:proofErr w:type="spellStart"/>
      <w:r>
        <w:rPr>
          <w:bCs/>
        </w:rPr>
        <w:t>SCoT</w:t>
      </w:r>
      <w:proofErr w:type="spellEnd"/>
      <w:r>
        <w:rPr>
          <w:bCs/>
        </w:rPr>
        <w:t xml:space="preserve"> Rhône Provence Baronnies, selon lequel le syndicat a pour objet l’élaboration, l’approbation, le suivi et la révision du Schéma de Cohérence Territoriale, ainsi que le pilotage et l’animation du dossier Territoire à Energie Positive.</w:t>
      </w: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>Vu l’article L.5214-27 du code Général des Collectivités Territoriales selon lequel sauf dispositions statutaires contraires, l’adhésion de la Communauté de Communes à un syndicat mixte est subordonnée à l’accord des conseils municipaux des communes membres, donné dans les conditions de majorité qualifiée requises pour la création de la Communauté.</w:t>
      </w: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 xml:space="preserve">Vu la délibération du conseil communautaire n° 2014-49 en date du 27 juin 2016 décidant de l’adhésion de la Communauté de Communes Barrès-Coiron au syndicat mixte du </w:t>
      </w:r>
      <w:proofErr w:type="spellStart"/>
      <w:r>
        <w:rPr>
          <w:bCs/>
        </w:rPr>
        <w:t>SCoT</w:t>
      </w:r>
      <w:proofErr w:type="spellEnd"/>
      <w:r>
        <w:rPr>
          <w:bCs/>
        </w:rPr>
        <w:t xml:space="preserve"> Rhône Provence Baronnies.</w:t>
      </w: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 xml:space="preserve">Le Conseil Municipal après en avoir délibéré à l’unanimité : </w:t>
      </w:r>
    </w:p>
    <w:p w:rsidR="001C329F" w:rsidRDefault="001C329F" w:rsidP="001C329F">
      <w:pPr>
        <w:spacing w:line="287" w:lineRule="exact"/>
        <w:rPr>
          <w:bCs/>
        </w:rPr>
      </w:pP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 xml:space="preserve">APPROUVE la création du syndicat mixte du </w:t>
      </w:r>
      <w:proofErr w:type="spellStart"/>
      <w:r>
        <w:rPr>
          <w:bCs/>
        </w:rPr>
        <w:t>SCoT</w:t>
      </w:r>
      <w:proofErr w:type="spellEnd"/>
      <w:r>
        <w:rPr>
          <w:bCs/>
        </w:rPr>
        <w:t xml:space="preserve"> Rhône Provence Baronnies,</w:t>
      </w:r>
    </w:p>
    <w:p w:rsidR="001C329F" w:rsidRDefault="001C329F" w:rsidP="001C329F">
      <w:pPr>
        <w:spacing w:line="287" w:lineRule="exact"/>
        <w:rPr>
          <w:bCs/>
        </w:rPr>
      </w:pPr>
      <w:r>
        <w:rPr>
          <w:bCs/>
        </w:rPr>
        <w:t xml:space="preserve">APPROUVE l’adhésion de la Communauté de Communes Barrès-Coiron au syndicat mixte du </w:t>
      </w:r>
      <w:proofErr w:type="spellStart"/>
      <w:r>
        <w:rPr>
          <w:bCs/>
        </w:rPr>
        <w:t>SCoT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rhône</w:t>
      </w:r>
      <w:proofErr w:type="spellEnd"/>
      <w:r>
        <w:rPr>
          <w:bCs/>
        </w:rPr>
        <w:t xml:space="preserve"> Provence Baronnies.</w:t>
      </w:r>
    </w:p>
    <w:p w:rsidR="001C329F" w:rsidRDefault="001C329F" w:rsidP="001C329F">
      <w:pPr>
        <w:spacing w:line="287" w:lineRule="exact"/>
        <w:rPr>
          <w:bCs/>
        </w:rPr>
      </w:pPr>
    </w:p>
    <w:p w:rsidR="001C329F" w:rsidRDefault="00E63FC3" w:rsidP="00E63FC3">
      <w:pPr>
        <w:tabs>
          <w:tab w:val="left" w:pos="1418"/>
        </w:tabs>
        <w:spacing w:line="287" w:lineRule="exact"/>
        <w:ind w:hanging="708"/>
      </w:pPr>
      <w:r>
        <w:t xml:space="preserve">                                  </w:t>
      </w:r>
      <w:r w:rsidRPr="0071243B">
        <w:rPr>
          <w:b/>
          <w:u w:val="single"/>
        </w:rPr>
        <w:t>Pa</w:t>
      </w:r>
      <w:r w:rsidR="001C329F" w:rsidRPr="0071243B">
        <w:rPr>
          <w:b/>
          <w:u w:val="single"/>
        </w:rPr>
        <w:t>rticipation financière activités périscolaires</w:t>
      </w:r>
      <w:r w:rsidR="001C329F">
        <w:t xml:space="preserve"> : </w:t>
      </w:r>
      <w:r>
        <w:t>le bilan financier des activités périscolaires est présenté le coût résiduel pour la commune était de 11900 Euros pour l’année scolaire 2014/2015 et 9500 Euros pour l’année 2015/2016, des activités de qualité sont proposées, les enfants sont satisfaits et le taux de participation est d’environ 60 %.</w:t>
      </w:r>
    </w:p>
    <w:p w:rsidR="006164DB" w:rsidRDefault="00E63FC3" w:rsidP="00E63FC3">
      <w:pPr>
        <w:tabs>
          <w:tab w:val="left" w:pos="1418"/>
        </w:tabs>
        <w:spacing w:line="287" w:lineRule="exact"/>
        <w:ind w:hanging="708"/>
      </w:pPr>
      <w:r>
        <w:t xml:space="preserve">            Les activités de l’année 2016/2017 sont présentées, des  activités</w:t>
      </w:r>
      <w:r w:rsidR="006164DB">
        <w:t xml:space="preserve"> ludiques</w:t>
      </w:r>
      <w:r>
        <w:t xml:space="preserve"> seront proposées pour l</w:t>
      </w:r>
      <w:r w:rsidR="006164DB">
        <w:t>a garderie de 15h45 à 16h45.</w:t>
      </w:r>
    </w:p>
    <w:p w:rsidR="006164DB" w:rsidRDefault="006164DB" w:rsidP="006164DB">
      <w:pPr>
        <w:tabs>
          <w:tab w:val="left" w:pos="1418"/>
        </w:tabs>
        <w:spacing w:line="287" w:lineRule="exact"/>
        <w:ind w:hanging="708"/>
      </w:pPr>
      <w:r>
        <w:tab/>
        <w:t>Un débat s’ensuit sur l’instauration d’une participation financière des parents à ces activités.</w:t>
      </w:r>
    </w:p>
    <w:p w:rsidR="006164DB" w:rsidRDefault="006164DB" w:rsidP="006164DB">
      <w:pPr>
        <w:tabs>
          <w:tab w:val="left" w:pos="1418"/>
        </w:tabs>
        <w:spacing w:line="287" w:lineRule="exact"/>
        <w:ind w:hanging="708"/>
      </w:pPr>
      <w:r>
        <w:tab/>
        <w:t xml:space="preserve">Le paiement sera demandé à tous les enfants restant dans l’enceinte de l’école entre 15h45 </w:t>
      </w:r>
    </w:p>
    <w:p w:rsidR="006164DB" w:rsidRDefault="006164DB" w:rsidP="006164DB">
      <w:pPr>
        <w:tabs>
          <w:tab w:val="left" w:pos="1418"/>
        </w:tabs>
        <w:spacing w:line="287" w:lineRule="exact"/>
        <w:ind w:hanging="708"/>
      </w:pPr>
      <w:r>
        <w:t xml:space="preserve">            </w:t>
      </w:r>
      <w:proofErr w:type="gramStart"/>
      <w:r>
        <w:t>et</w:t>
      </w:r>
      <w:proofErr w:type="gramEnd"/>
      <w:r>
        <w:t xml:space="preserve"> 16h45.</w:t>
      </w:r>
    </w:p>
    <w:p w:rsidR="006164DB" w:rsidRDefault="006164DB" w:rsidP="006164DB">
      <w:pPr>
        <w:jc w:val="both"/>
      </w:pPr>
      <w:r>
        <w:tab/>
        <w:t xml:space="preserve">          Le Conseil Municipal après délibération par 10 voix pour et 2 abstentions</w:t>
      </w:r>
    </w:p>
    <w:p w:rsidR="006164DB" w:rsidRDefault="006164DB" w:rsidP="006164DB">
      <w:pPr>
        <w:jc w:val="both"/>
      </w:pPr>
      <w:r>
        <w:t xml:space="preserve">DECIDE le paiement d’une participation par les parents des enfants participant aux activités périscolaires comme suit : </w:t>
      </w:r>
    </w:p>
    <w:p w:rsidR="006164DB" w:rsidRDefault="006164DB" w:rsidP="006164D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10 € par trimestre pour le 1</w:t>
      </w:r>
      <w:r w:rsidRPr="00BD1677">
        <w:rPr>
          <w:vertAlign w:val="superscript"/>
        </w:rPr>
        <w:t>er</w:t>
      </w:r>
      <w:r>
        <w:t xml:space="preserve"> enfant</w:t>
      </w:r>
    </w:p>
    <w:p w:rsidR="006164DB" w:rsidRDefault="006164DB" w:rsidP="006164D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5 € par trimestre pour le 2</w:t>
      </w:r>
      <w:r w:rsidRPr="00BD1677">
        <w:rPr>
          <w:vertAlign w:val="superscript"/>
        </w:rPr>
        <w:t>ème</w:t>
      </w:r>
      <w:r>
        <w:t xml:space="preserve"> enfant</w:t>
      </w:r>
    </w:p>
    <w:p w:rsidR="006164DB" w:rsidRDefault="006164DB" w:rsidP="006164D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0 € par trimestre pour le 3</w:t>
      </w:r>
      <w:r w:rsidRPr="00BD1677">
        <w:rPr>
          <w:vertAlign w:val="superscript"/>
        </w:rPr>
        <w:t>ème</w:t>
      </w:r>
      <w:r>
        <w:t xml:space="preserve"> enfant</w:t>
      </w:r>
    </w:p>
    <w:p w:rsidR="00E63FC3" w:rsidRDefault="00E63FC3" w:rsidP="006164DB">
      <w:pPr>
        <w:tabs>
          <w:tab w:val="left" w:pos="1418"/>
        </w:tabs>
        <w:spacing w:line="287" w:lineRule="exact"/>
        <w:ind w:hanging="708"/>
      </w:pPr>
      <w:r>
        <w:t xml:space="preserve"> </w:t>
      </w:r>
    </w:p>
    <w:p w:rsidR="006164DB" w:rsidRDefault="006164DB" w:rsidP="006164DB">
      <w:pPr>
        <w:ind w:firstLine="708"/>
        <w:rPr>
          <w:bCs/>
        </w:rPr>
      </w:pPr>
      <w:r>
        <w:tab/>
      </w:r>
      <w:r w:rsidRPr="0071243B">
        <w:rPr>
          <w:b/>
          <w:u w:val="single"/>
        </w:rPr>
        <w:t>Rapport service assainissement année 2015</w:t>
      </w:r>
      <w:r>
        <w:t xml:space="preserve"> : </w:t>
      </w:r>
      <w:r>
        <w:rPr>
          <w:bCs/>
        </w:rPr>
        <w:t>Madame le Maire présente au Conseil Municipal le rapport annuel concernant le service assainissement pour l’année 2015.</w:t>
      </w:r>
    </w:p>
    <w:p w:rsidR="006164DB" w:rsidRDefault="006164DB" w:rsidP="006164DB">
      <w:pPr>
        <w:rPr>
          <w:bCs/>
        </w:rPr>
      </w:pPr>
      <w:r>
        <w:rPr>
          <w:bCs/>
        </w:rPr>
        <w:t>Ce document est consultable en Mairie. Après délibération, il est approuvé à l’unanimité des membres présents.</w:t>
      </w:r>
    </w:p>
    <w:p w:rsidR="006164DB" w:rsidRDefault="00C153B3" w:rsidP="006164DB">
      <w:pPr>
        <w:rPr>
          <w:bCs/>
        </w:rPr>
      </w:pPr>
      <w:r>
        <w:rPr>
          <w:bCs/>
        </w:rPr>
        <w:t xml:space="preserve">L’entreprise NALDEO, chargée du diagnostic de la station d’épuration et des réseaux d’assainissement a donné le résultat de l’étude. Un projet de nouvelle station devra être étudié </w:t>
      </w:r>
    </w:p>
    <w:p w:rsidR="00C153B3" w:rsidRDefault="00C153B3" w:rsidP="006164DB">
      <w:pPr>
        <w:rPr>
          <w:bCs/>
        </w:rPr>
      </w:pPr>
      <w:proofErr w:type="gramStart"/>
      <w:r>
        <w:rPr>
          <w:bCs/>
        </w:rPr>
        <w:t>pour</w:t>
      </w:r>
      <w:proofErr w:type="gramEnd"/>
      <w:r>
        <w:rPr>
          <w:bCs/>
        </w:rPr>
        <w:t xml:space="preserve"> pouvoir accueillir l’assainissement des habitations situées dans la zone de Plan de Prévention des Risques. Les travaux suivants sont également préconisés :  </w:t>
      </w:r>
    </w:p>
    <w:p w:rsidR="003E7BD9" w:rsidRDefault="003E7BD9" w:rsidP="006164DB">
      <w:pPr>
        <w:rPr>
          <w:bCs/>
        </w:rPr>
      </w:pPr>
    </w:p>
    <w:p w:rsidR="003E7BD9" w:rsidRPr="003E7BD9" w:rsidRDefault="003E7BD9" w:rsidP="003E7BD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E7BD9">
        <w:t>Suppression des rejets d’eaux usées en milieu naturel</w:t>
      </w:r>
    </w:p>
    <w:p w:rsidR="003E7BD9" w:rsidRPr="003E7BD9" w:rsidRDefault="003E7BD9" w:rsidP="003E7BD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E7BD9">
        <w:t>Suppression des apports d’eaux claires parasites de temps sec-</w:t>
      </w:r>
    </w:p>
    <w:p w:rsidR="003E7BD9" w:rsidRPr="003E7BD9" w:rsidRDefault="003E7BD9" w:rsidP="003E7BD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E7BD9">
        <w:t>Travaux d’élimination des eaux parasites de temps sec (remplacement de regard, reprise d’enduits, recherche de regards non accessibles)</w:t>
      </w:r>
    </w:p>
    <w:p w:rsidR="003E7BD9" w:rsidRPr="003E7BD9" w:rsidRDefault="003E7BD9" w:rsidP="003E7BD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E7BD9">
        <w:lastRenderedPageBreak/>
        <w:t>Suppression des apports d’eaux pluviales dans le réseau d’eaux usées (suite aux tests à la fumée des courriers seront adressés aux personnes identifiées pour réaliser des travaux de mise en conformité)</w:t>
      </w:r>
    </w:p>
    <w:p w:rsidR="003E7BD9" w:rsidRPr="003E7BD9" w:rsidRDefault="003E7BD9" w:rsidP="003E7BD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E7BD9">
        <w:t>Mise en place de 2 dégrilleurs automatiques, l’un à la station d’épuration, l’autre au poste de relevage.</w:t>
      </w:r>
    </w:p>
    <w:p w:rsidR="003E7BD9" w:rsidRPr="003E7BD9" w:rsidRDefault="003E7BD9" w:rsidP="006164DB">
      <w:pPr>
        <w:rPr>
          <w:bCs/>
        </w:rPr>
      </w:pPr>
    </w:p>
    <w:p w:rsidR="006164DB" w:rsidRPr="00DC66F1" w:rsidRDefault="006164DB" w:rsidP="006164DB">
      <w:pPr>
        <w:rPr>
          <w:bCs/>
        </w:rPr>
      </w:pPr>
    </w:p>
    <w:p w:rsidR="006164DB" w:rsidRPr="0071243B" w:rsidRDefault="006164DB" w:rsidP="006164DB">
      <w:pPr>
        <w:ind w:left="705"/>
        <w:jc w:val="both"/>
        <w:rPr>
          <w:b/>
          <w:u w:val="single"/>
        </w:rPr>
      </w:pPr>
      <w:r>
        <w:t xml:space="preserve"> </w:t>
      </w:r>
      <w:r>
        <w:tab/>
      </w:r>
      <w:r w:rsidRPr="0071243B">
        <w:rPr>
          <w:b/>
          <w:u w:val="single"/>
        </w:rPr>
        <w:t xml:space="preserve">Tarif Assainissement : </w:t>
      </w:r>
    </w:p>
    <w:p w:rsidR="00E63FC3" w:rsidRDefault="00E63FC3" w:rsidP="00E63FC3">
      <w:pPr>
        <w:tabs>
          <w:tab w:val="left" w:pos="1418"/>
        </w:tabs>
        <w:spacing w:line="287" w:lineRule="exact"/>
        <w:ind w:hanging="708"/>
      </w:pPr>
    </w:p>
    <w:p w:rsidR="00C153B3" w:rsidRDefault="00C153B3" w:rsidP="00C153B3">
      <w:pPr>
        <w:ind w:left="142" w:firstLine="708"/>
        <w:rPr>
          <w:bCs/>
        </w:rPr>
      </w:pPr>
      <w:r>
        <w:rPr>
          <w:bCs/>
        </w:rPr>
        <w:t xml:space="preserve">         Madame le Maire informe le Conseil Municipal de la nécessité de revoir les tarifs assainissement et propose : </w:t>
      </w:r>
    </w:p>
    <w:p w:rsidR="00C153B3" w:rsidRPr="00DC66F1" w:rsidRDefault="00C153B3" w:rsidP="00C153B3">
      <w:pPr>
        <w:rPr>
          <w:bCs/>
        </w:rPr>
      </w:pPr>
    </w:p>
    <w:p w:rsidR="00C153B3" w:rsidRDefault="00C153B3" w:rsidP="00C153B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Redevance : 0.95 Euros par M3 HT</w:t>
      </w:r>
    </w:p>
    <w:p w:rsidR="00C153B3" w:rsidRDefault="00C153B3" w:rsidP="00A07BA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Abonnement : 19.20 Euros par an HT</w:t>
      </w:r>
    </w:p>
    <w:p w:rsidR="00C153B3" w:rsidRDefault="00C153B3" w:rsidP="00C153B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153B3" w:rsidRDefault="00C153B3" w:rsidP="00C153B3">
      <w:pPr>
        <w:ind w:left="142"/>
        <w:jc w:val="both"/>
      </w:pPr>
      <w:r>
        <w:t>Le Conseil Municipal après avoir délibéré par 10 voix pour et 2 voix contre</w:t>
      </w:r>
    </w:p>
    <w:p w:rsidR="00C153B3" w:rsidRDefault="00C153B3" w:rsidP="00C153B3">
      <w:pPr>
        <w:ind w:left="142"/>
        <w:jc w:val="both"/>
      </w:pPr>
      <w:r>
        <w:t>APPROUVE ces nouveaux tarifs</w:t>
      </w:r>
    </w:p>
    <w:p w:rsidR="00C153B3" w:rsidRDefault="00C153B3" w:rsidP="00C153B3">
      <w:pPr>
        <w:ind w:left="142"/>
        <w:jc w:val="both"/>
      </w:pPr>
      <w:r>
        <w:t>DIT qu’ils entreront en vigueur à compter du 01 décembre 2016.</w:t>
      </w:r>
    </w:p>
    <w:p w:rsidR="00C153B3" w:rsidRPr="00925212" w:rsidRDefault="00C153B3" w:rsidP="00C153B3">
      <w:pPr>
        <w:ind w:left="705"/>
        <w:jc w:val="both"/>
      </w:pPr>
    </w:p>
    <w:p w:rsidR="004F73A3" w:rsidRDefault="00C153B3" w:rsidP="001C329F">
      <w:pPr>
        <w:ind w:left="142" w:firstLine="1274"/>
        <w:jc w:val="both"/>
      </w:pPr>
      <w:bookmarkStart w:id="0" w:name="_GoBack"/>
      <w:r w:rsidRPr="000322B3">
        <w:rPr>
          <w:b/>
          <w:u w:val="single"/>
        </w:rPr>
        <w:t>Tarif salle des fêtes</w:t>
      </w:r>
      <w:r>
        <w:t> </w:t>
      </w:r>
      <w:bookmarkEnd w:id="0"/>
      <w:r>
        <w:t>: Madame le Maire informe le Conseil Municipal que pour l’année scolaire 2016/2017 les enfants, dans l’attente de la construction du nouveau réfectoire, déjeuneront dans la salle du bar de la salle des fêtes.</w:t>
      </w:r>
      <w:r w:rsidR="004F73A3">
        <w:t xml:space="preserve"> La salle ne pourra être louée qu’à partir de 16 Heures à la place de 9 Heures habituellement, ce sont les élus (maire et adjoints qui feront les états des lieux à tour de rôle). La question de revoir les tarifs à la baisse est posée. Le Conseil Municipal, après délibération à l’unanimité ne souhaite pas modifier les tarifs actuels.</w:t>
      </w:r>
    </w:p>
    <w:p w:rsidR="004F73A3" w:rsidRDefault="004F73A3" w:rsidP="001C329F">
      <w:pPr>
        <w:ind w:left="142" w:firstLine="1274"/>
        <w:jc w:val="both"/>
      </w:pPr>
    </w:p>
    <w:p w:rsidR="004F73A3" w:rsidRPr="0071243B" w:rsidRDefault="004F73A3" w:rsidP="001C329F">
      <w:pPr>
        <w:ind w:left="142" w:firstLine="1274"/>
        <w:jc w:val="both"/>
        <w:rPr>
          <w:b/>
        </w:rPr>
      </w:pPr>
      <w:r w:rsidRPr="0071243B">
        <w:rPr>
          <w:b/>
        </w:rPr>
        <w:t xml:space="preserve">QUESTIONS DIVERSES </w:t>
      </w:r>
    </w:p>
    <w:p w:rsidR="004F73A3" w:rsidRDefault="004F73A3" w:rsidP="001C329F">
      <w:pPr>
        <w:ind w:left="142" w:firstLine="1274"/>
        <w:jc w:val="both"/>
      </w:pPr>
    </w:p>
    <w:p w:rsidR="004F73A3" w:rsidRDefault="004F73A3" w:rsidP="001C329F">
      <w:pPr>
        <w:ind w:left="142" w:firstLine="1274"/>
        <w:jc w:val="both"/>
      </w:pPr>
      <w:r w:rsidRPr="0071243B">
        <w:rPr>
          <w:b/>
          <w:u w:val="single"/>
        </w:rPr>
        <w:t>Arrachage d’ambroisie</w:t>
      </w:r>
      <w:r>
        <w:t> : rendez-vous samedi 09 Juillet à 9 Heures devant la Mairie, merci de s’équiper de bonnes chaussures et de gants.</w:t>
      </w:r>
    </w:p>
    <w:p w:rsidR="004F73A3" w:rsidRDefault="004F73A3" w:rsidP="001C329F">
      <w:pPr>
        <w:ind w:left="142" w:firstLine="1274"/>
        <w:jc w:val="both"/>
      </w:pPr>
    </w:p>
    <w:p w:rsidR="004F73A3" w:rsidRDefault="004F73A3" w:rsidP="001C329F">
      <w:pPr>
        <w:ind w:left="142" w:firstLine="1274"/>
        <w:jc w:val="both"/>
      </w:pPr>
      <w:r w:rsidRPr="0071243B">
        <w:rPr>
          <w:b/>
          <w:u w:val="single"/>
        </w:rPr>
        <w:t>Fête au village</w:t>
      </w:r>
      <w:r>
        <w:t> : de nombreuses animations les samedi 09 et dimanche 10 juillet.</w:t>
      </w:r>
    </w:p>
    <w:p w:rsidR="004F73A3" w:rsidRDefault="004F73A3" w:rsidP="001C329F">
      <w:pPr>
        <w:ind w:left="142" w:firstLine="1274"/>
        <w:jc w:val="both"/>
      </w:pPr>
    </w:p>
    <w:p w:rsidR="004F73A3" w:rsidRDefault="004F73A3" w:rsidP="001C329F">
      <w:pPr>
        <w:ind w:left="142" w:firstLine="1274"/>
        <w:jc w:val="both"/>
      </w:pPr>
      <w:r w:rsidRPr="0071243B">
        <w:rPr>
          <w:b/>
          <w:u w:val="single"/>
        </w:rPr>
        <w:t>Résidence Champferratier</w:t>
      </w:r>
      <w:r>
        <w:t xml:space="preserve"> : la remise des clés aux nouveaux locataires a été faite le Vendredi 10 Juin, </w:t>
      </w:r>
      <w:r w:rsidR="000C12A6">
        <w:t>l’entreprise de travaux publics a repris la chaussée de Champferratier, et la collectivité a financé le curage du fossé jusqu’en bas de la route des hauts de Payre.</w:t>
      </w:r>
    </w:p>
    <w:p w:rsidR="000C12A6" w:rsidRDefault="000C12A6" w:rsidP="000C12A6">
      <w:pPr>
        <w:jc w:val="both"/>
      </w:pPr>
      <w:r>
        <w:t xml:space="preserve">  L’acte de vente avec Monsieur COMBE a été signé ce jour.</w:t>
      </w:r>
    </w:p>
    <w:p w:rsidR="000C12A6" w:rsidRDefault="000C12A6" w:rsidP="000C12A6">
      <w:pPr>
        <w:jc w:val="both"/>
      </w:pPr>
    </w:p>
    <w:p w:rsidR="000C12A6" w:rsidRDefault="000C12A6" w:rsidP="000C12A6">
      <w:pPr>
        <w:jc w:val="both"/>
      </w:pPr>
      <w:r>
        <w:tab/>
      </w:r>
      <w:r>
        <w:tab/>
      </w:r>
      <w:r w:rsidRPr="0071243B">
        <w:rPr>
          <w:b/>
          <w:u w:val="single"/>
        </w:rPr>
        <w:t>Travaux de voirie</w:t>
      </w:r>
      <w:r>
        <w:t> : la commission voirie va être convoquée pour travailler sur les travaux à réaliser d’ici la fin de l’année.</w:t>
      </w:r>
    </w:p>
    <w:p w:rsidR="000C12A6" w:rsidRDefault="000C12A6" w:rsidP="000C12A6">
      <w:pPr>
        <w:jc w:val="both"/>
      </w:pPr>
    </w:p>
    <w:p w:rsidR="000C12A6" w:rsidRDefault="000C12A6" w:rsidP="000C12A6">
      <w:pPr>
        <w:jc w:val="both"/>
      </w:pPr>
      <w:r>
        <w:tab/>
      </w:r>
      <w:r>
        <w:tab/>
      </w:r>
      <w:r w:rsidRPr="0071243B">
        <w:rPr>
          <w:b/>
          <w:u w:val="single"/>
        </w:rPr>
        <w:t>Déplacement d’ouvrage Electrique</w:t>
      </w:r>
      <w:r>
        <w:t> : une demande a été faite auprès des services</w:t>
      </w:r>
      <w:r w:rsidR="00800FB3">
        <w:t xml:space="preserve"> </w:t>
      </w:r>
      <w:r>
        <w:t>d’E</w:t>
      </w:r>
      <w:r w:rsidR="00800FB3">
        <w:t>NEDIS</w:t>
      </w:r>
      <w:r>
        <w:t xml:space="preserve"> (Anciennement ERDF) par un particulier pour déplacer un ouvrage sur le domaine public, l’estimation du coût est de 50000 Euros.</w:t>
      </w:r>
    </w:p>
    <w:p w:rsidR="000C12A6" w:rsidRDefault="000C12A6" w:rsidP="000C12A6">
      <w:pPr>
        <w:jc w:val="both"/>
      </w:pPr>
    </w:p>
    <w:p w:rsidR="000C12A6" w:rsidRDefault="000C12A6" w:rsidP="000C12A6">
      <w:pPr>
        <w:jc w:val="both"/>
      </w:pPr>
      <w:r>
        <w:tab/>
      </w:r>
      <w:r>
        <w:tab/>
      </w:r>
      <w:r w:rsidRPr="00846600">
        <w:rPr>
          <w:b/>
          <w:u w:val="single"/>
        </w:rPr>
        <w:t>Logo et plan de la commune</w:t>
      </w:r>
      <w:r>
        <w:t> : la société sera relancée.</w:t>
      </w:r>
    </w:p>
    <w:p w:rsidR="000C12A6" w:rsidRDefault="000C12A6" w:rsidP="000C12A6">
      <w:pPr>
        <w:jc w:val="both"/>
      </w:pPr>
    </w:p>
    <w:p w:rsidR="000C12A6" w:rsidRDefault="000C12A6" w:rsidP="000C12A6">
      <w:pPr>
        <w:jc w:val="both"/>
      </w:pPr>
      <w:r>
        <w:tab/>
      </w:r>
      <w:r>
        <w:tab/>
        <w:t>Fait à ST SYMPHORIEN SOUS CHOMERAC le 07 Juillet 2016,</w:t>
      </w:r>
    </w:p>
    <w:p w:rsidR="000C12A6" w:rsidRDefault="000C12A6" w:rsidP="000C12A6">
      <w:pPr>
        <w:jc w:val="both"/>
      </w:pPr>
      <w:r>
        <w:tab/>
      </w:r>
      <w:r>
        <w:tab/>
      </w:r>
      <w:r>
        <w:tab/>
      </w:r>
      <w:r>
        <w:tab/>
        <w:t>Madame le Maire,</w:t>
      </w:r>
    </w:p>
    <w:p w:rsidR="000C12A6" w:rsidRDefault="000C12A6" w:rsidP="000C12A6">
      <w:pPr>
        <w:jc w:val="both"/>
      </w:pPr>
    </w:p>
    <w:p w:rsidR="004F73A3" w:rsidRDefault="004F73A3" w:rsidP="001C329F">
      <w:pPr>
        <w:ind w:left="142" w:firstLine="1274"/>
        <w:jc w:val="both"/>
      </w:pPr>
    </w:p>
    <w:p w:rsidR="004F73A3" w:rsidRDefault="004F73A3" w:rsidP="001C329F">
      <w:pPr>
        <w:ind w:left="142" w:firstLine="1274"/>
        <w:jc w:val="both"/>
      </w:pPr>
    </w:p>
    <w:p w:rsidR="001C329F" w:rsidRDefault="00C153B3" w:rsidP="001C329F">
      <w:pPr>
        <w:ind w:left="142" w:firstLine="1274"/>
        <w:jc w:val="both"/>
      </w:pPr>
      <w:r>
        <w:t xml:space="preserve"> </w:t>
      </w:r>
      <w:r>
        <w:tab/>
      </w:r>
    </w:p>
    <w:p w:rsidR="001C329F" w:rsidRPr="00925212" w:rsidRDefault="00C153B3" w:rsidP="001C329F">
      <w:pPr>
        <w:jc w:val="both"/>
      </w:pPr>
      <w:r>
        <w:tab/>
      </w:r>
      <w:r>
        <w:tab/>
      </w:r>
    </w:p>
    <w:p w:rsidR="001C329F" w:rsidRDefault="001C329F" w:rsidP="001C329F"/>
    <w:p w:rsidR="001C329F" w:rsidRDefault="001C329F" w:rsidP="00C52E5B"/>
    <w:p w:rsidR="005117AD" w:rsidRDefault="00C52E5B" w:rsidP="00C52E5B">
      <w:r>
        <w:t xml:space="preserve">        </w:t>
      </w:r>
    </w:p>
    <w:sectPr w:rsidR="005117AD" w:rsidSect="003E7B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DAA2BE"/>
    <w:lvl w:ilvl="0">
      <w:numFmt w:val="bullet"/>
      <w:lvlText w:val="*"/>
      <w:lvlJc w:val="left"/>
    </w:lvl>
  </w:abstractNum>
  <w:abstractNum w:abstractNumId="1" w15:restartNumberingAfterBreak="0">
    <w:nsid w:val="28CB1D52"/>
    <w:multiLevelType w:val="hybridMultilevel"/>
    <w:tmpl w:val="00D2E75C"/>
    <w:lvl w:ilvl="0" w:tplc="FEE062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BC45C0"/>
    <w:multiLevelType w:val="hybridMultilevel"/>
    <w:tmpl w:val="32DC89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4731"/>
    <w:multiLevelType w:val="hybridMultilevel"/>
    <w:tmpl w:val="F1BEBA0E"/>
    <w:lvl w:ilvl="0" w:tplc="59B25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276C"/>
    <w:multiLevelType w:val="hybridMultilevel"/>
    <w:tmpl w:val="601C950E"/>
    <w:lvl w:ilvl="0" w:tplc="85F0E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B"/>
    <w:rsid w:val="000322B3"/>
    <w:rsid w:val="000C12A6"/>
    <w:rsid w:val="001C329F"/>
    <w:rsid w:val="003E7BD9"/>
    <w:rsid w:val="004F73A3"/>
    <w:rsid w:val="005117AD"/>
    <w:rsid w:val="006164DB"/>
    <w:rsid w:val="0071243B"/>
    <w:rsid w:val="00800FB3"/>
    <w:rsid w:val="00846600"/>
    <w:rsid w:val="00A2133B"/>
    <w:rsid w:val="00C153B3"/>
    <w:rsid w:val="00C52E5B"/>
    <w:rsid w:val="00CF107F"/>
    <w:rsid w:val="00E63FC3"/>
    <w:rsid w:val="00F43B4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B3538C-DC14-4191-B885-59BE825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B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BD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Symphorien</dc:creator>
  <cp:keywords/>
  <dc:description/>
  <cp:lastModifiedBy>Mairie St Symphorien</cp:lastModifiedBy>
  <cp:revision>4</cp:revision>
  <cp:lastPrinted>2016-07-07T15:43:00Z</cp:lastPrinted>
  <dcterms:created xsi:type="dcterms:W3CDTF">2016-07-07T12:31:00Z</dcterms:created>
  <dcterms:modified xsi:type="dcterms:W3CDTF">2016-07-07T15:46:00Z</dcterms:modified>
</cp:coreProperties>
</file>