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D0" w:rsidRDefault="00846D10" w:rsidP="00701CD0">
      <w:pPr>
        <w:spacing w:after="0" w:line="240" w:lineRule="auto"/>
        <w:jc w:val="center"/>
        <w:rPr>
          <w:b/>
          <w:sz w:val="44"/>
          <w:szCs w:val="44"/>
          <w:u w:val="single"/>
        </w:rPr>
      </w:pPr>
      <w:r w:rsidRPr="00846D10">
        <w:rPr>
          <w:b/>
          <w:sz w:val="44"/>
          <w:szCs w:val="44"/>
          <w:u w:val="single"/>
        </w:rPr>
        <w:t xml:space="preserve">Note </w:t>
      </w:r>
      <w:r w:rsidR="00701CD0">
        <w:rPr>
          <w:b/>
          <w:sz w:val="44"/>
          <w:szCs w:val="44"/>
          <w:u w:val="single"/>
        </w:rPr>
        <w:t>d’information financière</w:t>
      </w:r>
    </w:p>
    <w:p w:rsidR="00240425" w:rsidRDefault="00701CD0" w:rsidP="00701CD0">
      <w:pPr>
        <w:spacing w:after="0" w:line="240" w:lineRule="auto"/>
        <w:jc w:val="center"/>
        <w:rPr>
          <w:b/>
          <w:sz w:val="44"/>
          <w:szCs w:val="44"/>
          <w:u w:val="single"/>
        </w:rPr>
      </w:pPr>
      <w:r>
        <w:rPr>
          <w:b/>
          <w:sz w:val="44"/>
          <w:szCs w:val="44"/>
          <w:u w:val="single"/>
        </w:rPr>
        <w:t xml:space="preserve"> Budget Primitif 2019</w:t>
      </w:r>
    </w:p>
    <w:p w:rsidR="00701CD0" w:rsidRPr="00701CD0" w:rsidRDefault="00701CD0" w:rsidP="00701CD0">
      <w:pPr>
        <w:spacing w:after="0" w:line="240" w:lineRule="auto"/>
        <w:jc w:val="center"/>
        <w:rPr>
          <w:b/>
          <w:sz w:val="28"/>
          <w:szCs w:val="28"/>
          <w:u w:val="single"/>
        </w:rPr>
      </w:pPr>
      <w:r w:rsidRPr="00701CD0">
        <w:rPr>
          <w:b/>
          <w:sz w:val="28"/>
          <w:szCs w:val="28"/>
          <w:u w:val="single"/>
        </w:rPr>
        <w:t>(</w:t>
      </w:r>
      <w:proofErr w:type="gramStart"/>
      <w:r w:rsidRPr="00701CD0">
        <w:rPr>
          <w:b/>
          <w:sz w:val="28"/>
          <w:szCs w:val="28"/>
          <w:u w:val="single"/>
        </w:rPr>
        <w:t>document</w:t>
      </w:r>
      <w:proofErr w:type="gramEnd"/>
      <w:r w:rsidRPr="00701CD0">
        <w:rPr>
          <w:b/>
          <w:sz w:val="28"/>
          <w:szCs w:val="28"/>
          <w:u w:val="single"/>
        </w:rPr>
        <w:t xml:space="preserve"> mis en ligne sur le site internet de la commune)</w:t>
      </w:r>
    </w:p>
    <w:p w:rsidR="00846D10" w:rsidRDefault="00846D10" w:rsidP="00571D3E">
      <w:pPr>
        <w:jc w:val="both"/>
      </w:pPr>
    </w:p>
    <w:p w:rsidR="00846D10" w:rsidRDefault="00846D10" w:rsidP="00571D3E">
      <w:pPr>
        <w:spacing w:after="120" w:line="240" w:lineRule="auto"/>
        <w:jc w:val="both"/>
        <w:rPr>
          <w:sz w:val="24"/>
          <w:szCs w:val="24"/>
        </w:rPr>
      </w:pPr>
      <w:r w:rsidRPr="00846D10">
        <w:rPr>
          <w:sz w:val="24"/>
          <w:szCs w:val="24"/>
        </w:rPr>
        <w:t>L’article L2313.1</w:t>
      </w:r>
      <w:r>
        <w:rPr>
          <w:sz w:val="24"/>
          <w:szCs w:val="24"/>
        </w:rPr>
        <w:t xml:space="preserve"> du Code Général des Collectivités Territoriales prévoit qu’une présentation brève et synthétique retraçant les informations financières essentielles soit jointe au budget primitif afin de permettre aux citoyens d’en saisir les enjeux.</w:t>
      </w:r>
    </w:p>
    <w:p w:rsidR="00846D10" w:rsidRDefault="00846D10" w:rsidP="00571D3E">
      <w:pPr>
        <w:spacing w:after="120" w:line="240" w:lineRule="auto"/>
        <w:jc w:val="both"/>
        <w:rPr>
          <w:sz w:val="24"/>
          <w:szCs w:val="24"/>
        </w:rPr>
      </w:pPr>
      <w:r>
        <w:rPr>
          <w:sz w:val="24"/>
          <w:szCs w:val="24"/>
        </w:rPr>
        <w:t>La présente note répond à cette obligation, elle sera a</w:t>
      </w:r>
      <w:r w:rsidR="00F6748C">
        <w:rPr>
          <w:sz w:val="24"/>
          <w:szCs w:val="24"/>
        </w:rPr>
        <w:t>nnexée</w:t>
      </w:r>
      <w:r w:rsidR="00701CD0">
        <w:rPr>
          <w:sz w:val="24"/>
          <w:szCs w:val="24"/>
        </w:rPr>
        <w:t xml:space="preserve"> au Budget Primitif 2019</w:t>
      </w:r>
      <w:r>
        <w:rPr>
          <w:sz w:val="24"/>
          <w:szCs w:val="24"/>
        </w:rPr>
        <w:t xml:space="preserve"> et disponible sur le site internet de la commune.</w:t>
      </w:r>
    </w:p>
    <w:p w:rsidR="00701CD0" w:rsidRDefault="00846D10" w:rsidP="00701CD0">
      <w:pPr>
        <w:spacing w:after="120" w:line="240" w:lineRule="auto"/>
        <w:jc w:val="both"/>
        <w:rPr>
          <w:sz w:val="24"/>
          <w:szCs w:val="24"/>
        </w:rPr>
      </w:pPr>
      <w:r>
        <w:rPr>
          <w:sz w:val="24"/>
          <w:szCs w:val="24"/>
        </w:rPr>
        <w:t>Le Budget Primitif retrace l’ensemble des dépenses et des recettes autoris</w:t>
      </w:r>
      <w:r w:rsidR="00701CD0">
        <w:rPr>
          <w:sz w:val="24"/>
          <w:szCs w:val="24"/>
        </w:rPr>
        <w:t>ées et prévues pour l’année 2019</w:t>
      </w:r>
      <w:r>
        <w:rPr>
          <w:sz w:val="24"/>
          <w:szCs w:val="24"/>
        </w:rPr>
        <w:t>. Il respecte les principes budgétaires</w:t>
      </w:r>
      <w:r w:rsidR="00571D3E">
        <w:rPr>
          <w:sz w:val="24"/>
          <w:szCs w:val="24"/>
        </w:rPr>
        <w:t> : annualité, universalité, unité, équilibre et antériorité. Il constitue le premier acte obligatoire du cycle budgétaire annuel de la collectivité. Il doit être voté par le Conseil Municipal avant le 15 avril de l’année à laquelle il se rapporte et ensuite transmis au représentant de l’Etat dans les 15 jours qui suivent son approbation.</w:t>
      </w:r>
      <w:r w:rsidR="00701CD0" w:rsidRPr="00701CD0">
        <w:rPr>
          <w:sz w:val="24"/>
          <w:szCs w:val="24"/>
        </w:rPr>
        <w:t xml:space="preserve"> </w:t>
      </w:r>
    </w:p>
    <w:p w:rsidR="00701CD0" w:rsidRDefault="00701CD0" w:rsidP="00571D3E">
      <w:pPr>
        <w:spacing w:after="120" w:line="240" w:lineRule="auto"/>
        <w:jc w:val="both"/>
        <w:rPr>
          <w:sz w:val="24"/>
          <w:szCs w:val="24"/>
        </w:rPr>
      </w:pPr>
      <w:r>
        <w:rPr>
          <w:sz w:val="24"/>
          <w:szCs w:val="24"/>
        </w:rPr>
        <w:t>Le budget 2019 a été voté le 10 avril 2019 par le Conseil Municipal. Il peut être consulté sur simple demande auprès du secrétariat de Mairie.</w:t>
      </w:r>
    </w:p>
    <w:p w:rsidR="00571D3E" w:rsidRDefault="00571D3E" w:rsidP="00571D3E">
      <w:pPr>
        <w:spacing w:after="120" w:line="240" w:lineRule="auto"/>
        <w:jc w:val="both"/>
        <w:rPr>
          <w:sz w:val="24"/>
          <w:szCs w:val="24"/>
        </w:rPr>
      </w:pPr>
      <w:r>
        <w:rPr>
          <w:sz w:val="24"/>
          <w:szCs w:val="24"/>
        </w:rPr>
        <w:t>Par cet acte le Maire</w:t>
      </w:r>
      <w:r w:rsidR="00F6748C">
        <w:rPr>
          <w:sz w:val="24"/>
          <w:szCs w:val="24"/>
        </w:rPr>
        <w:t>,</w:t>
      </w:r>
      <w:r>
        <w:rPr>
          <w:sz w:val="24"/>
          <w:szCs w:val="24"/>
        </w:rPr>
        <w:t xml:space="preserve"> ordonnateur</w:t>
      </w:r>
      <w:r w:rsidR="00F6748C">
        <w:rPr>
          <w:sz w:val="24"/>
          <w:szCs w:val="24"/>
        </w:rPr>
        <w:t>,</w:t>
      </w:r>
      <w:r>
        <w:rPr>
          <w:sz w:val="24"/>
          <w:szCs w:val="24"/>
        </w:rPr>
        <w:t xml:space="preserve"> est autorisé à effectuer les opérations de recettes et de dépenses inscrites au budget, pour la période de 1</w:t>
      </w:r>
      <w:r w:rsidRPr="00571D3E">
        <w:rPr>
          <w:sz w:val="24"/>
          <w:szCs w:val="24"/>
          <w:vertAlign w:val="superscript"/>
        </w:rPr>
        <w:t>er</w:t>
      </w:r>
      <w:r>
        <w:rPr>
          <w:sz w:val="24"/>
          <w:szCs w:val="24"/>
        </w:rPr>
        <w:t xml:space="preserve"> janvier au 31 décemb</w:t>
      </w:r>
      <w:r w:rsidR="00701CD0">
        <w:rPr>
          <w:sz w:val="24"/>
          <w:szCs w:val="24"/>
        </w:rPr>
        <w:t>re de l’année 2019</w:t>
      </w:r>
      <w:r>
        <w:rPr>
          <w:sz w:val="24"/>
          <w:szCs w:val="24"/>
        </w:rPr>
        <w:t>.</w:t>
      </w:r>
      <w:r w:rsidR="00701CD0">
        <w:rPr>
          <w:sz w:val="24"/>
          <w:szCs w:val="24"/>
        </w:rPr>
        <w:t xml:space="preserve"> Il reprendra les excédents du compte administratif 2018 qui sont détaillés dans une note brève et synthétique spécifique.</w:t>
      </w:r>
    </w:p>
    <w:p w:rsidR="00F6748C" w:rsidRDefault="00F6748C" w:rsidP="00F6748C">
      <w:pPr>
        <w:spacing w:after="120" w:line="240" w:lineRule="auto"/>
        <w:jc w:val="both"/>
        <w:rPr>
          <w:sz w:val="24"/>
          <w:szCs w:val="24"/>
        </w:rPr>
      </w:pPr>
      <w:r>
        <w:rPr>
          <w:sz w:val="24"/>
          <w:szCs w:val="24"/>
        </w:rPr>
        <w:t>Il a été établi avec la volonté</w:t>
      </w:r>
    </w:p>
    <w:p w:rsidR="00F6748C" w:rsidRDefault="00F6748C" w:rsidP="00F6748C">
      <w:pPr>
        <w:pStyle w:val="Paragraphedeliste"/>
        <w:numPr>
          <w:ilvl w:val="0"/>
          <w:numId w:val="1"/>
        </w:numPr>
        <w:spacing w:after="120" w:line="240" w:lineRule="auto"/>
        <w:jc w:val="both"/>
        <w:rPr>
          <w:sz w:val="24"/>
          <w:szCs w:val="24"/>
        </w:rPr>
      </w:pPr>
      <w:r>
        <w:rPr>
          <w:sz w:val="24"/>
          <w:szCs w:val="24"/>
        </w:rPr>
        <w:t>De maîtriser les dépenses de fonctionnement tout en maintenant le niveau et la qualité des services rendus aux habitants,</w:t>
      </w:r>
    </w:p>
    <w:p w:rsidR="00F6748C" w:rsidRDefault="00F6748C" w:rsidP="00F6748C">
      <w:pPr>
        <w:pStyle w:val="Paragraphedeliste"/>
        <w:numPr>
          <w:ilvl w:val="0"/>
          <w:numId w:val="1"/>
        </w:numPr>
        <w:spacing w:after="120" w:line="240" w:lineRule="auto"/>
        <w:jc w:val="both"/>
        <w:rPr>
          <w:sz w:val="24"/>
          <w:szCs w:val="24"/>
        </w:rPr>
      </w:pPr>
      <w:r>
        <w:rPr>
          <w:sz w:val="24"/>
          <w:szCs w:val="24"/>
        </w:rPr>
        <w:t>De contenir la dette,</w:t>
      </w:r>
    </w:p>
    <w:p w:rsidR="00F6748C" w:rsidRDefault="00F6748C" w:rsidP="00F6748C">
      <w:pPr>
        <w:pStyle w:val="Paragraphedeliste"/>
        <w:numPr>
          <w:ilvl w:val="0"/>
          <w:numId w:val="1"/>
        </w:numPr>
        <w:spacing w:after="120" w:line="240" w:lineRule="auto"/>
        <w:jc w:val="both"/>
        <w:rPr>
          <w:sz w:val="24"/>
          <w:szCs w:val="24"/>
        </w:rPr>
      </w:pPr>
      <w:r>
        <w:rPr>
          <w:sz w:val="24"/>
          <w:szCs w:val="24"/>
        </w:rPr>
        <w:t xml:space="preserve">De mobiliser des subventions auprès des partenaires (Etat, Département, Région) chaque fois que </w:t>
      </w:r>
      <w:r w:rsidR="00701CD0">
        <w:rPr>
          <w:sz w:val="24"/>
          <w:szCs w:val="24"/>
        </w:rPr>
        <w:t xml:space="preserve">c’est </w:t>
      </w:r>
      <w:r>
        <w:rPr>
          <w:sz w:val="24"/>
          <w:szCs w:val="24"/>
        </w:rPr>
        <w:t>possible.</w:t>
      </w:r>
    </w:p>
    <w:p w:rsidR="00571D3E" w:rsidRDefault="0017294E" w:rsidP="00571D3E">
      <w:pPr>
        <w:spacing w:after="120" w:line="240" w:lineRule="auto"/>
        <w:jc w:val="both"/>
        <w:rPr>
          <w:sz w:val="24"/>
          <w:szCs w:val="24"/>
        </w:rPr>
      </w:pPr>
      <w:r>
        <w:rPr>
          <w:sz w:val="24"/>
          <w:szCs w:val="24"/>
        </w:rPr>
        <w:t xml:space="preserve">Les sections de fonctionnement et d’investissement structurent le budget des collectivités : d’un côté la gestion des affaires courantes (section de fonctionnement) incluant notamment le versement des </w:t>
      </w:r>
      <w:r w:rsidR="00F6748C">
        <w:rPr>
          <w:sz w:val="24"/>
          <w:szCs w:val="24"/>
        </w:rPr>
        <w:t xml:space="preserve"> sal</w:t>
      </w:r>
      <w:r>
        <w:rPr>
          <w:sz w:val="24"/>
          <w:szCs w:val="24"/>
        </w:rPr>
        <w:t>a</w:t>
      </w:r>
      <w:r w:rsidR="00F6748C">
        <w:rPr>
          <w:sz w:val="24"/>
          <w:szCs w:val="24"/>
        </w:rPr>
        <w:t>ires des a</w:t>
      </w:r>
      <w:r>
        <w:rPr>
          <w:sz w:val="24"/>
          <w:szCs w:val="24"/>
        </w:rPr>
        <w:t>gents communaux, de l’autre la section d’investissement qui a vocation à mettre en œuvre les projets de la collectivité. Ces deux sections doivent être équilibrées en dépenses et en recettes.</w:t>
      </w:r>
    </w:p>
    <w:p w:rsidR="00EF6DBC" w:rsidRPr="00EF6DBC" w:rsidRDefault="00EF6DBC" w:rsidP="0017294E">
      <w:pPr>
        <w:spacing w:after="120" w:line="240" w:lineRule="auto"/>
        <w:jc w:val="both"/>
        <w:rPr>
          <w:b/>
          <w:sz w:val="24"/>
          <w:szCs w:val="24"/>
          <w:u w:val="single"/>
        </w:rPr>
      </w:pPr>
      <w:r w:rsidRPr="00EF6DBC">
        <w:rPr>
          <w:b/>
          <w:sz w:val="24"/>
          <w:szCs w:val="24"/>
          <w:u w:val="single"/>
        </w:rPr>
        <w:t>La section de fonctionnement</w:t>
      </w:r>
    </w:p>
    <w:p w:rsidR="00EF6DBC" w:rsidRDefault="00EF6DBC" w:rsidP="00EF6DBC">
      <w:pPr>
        <w:pStyle w:val="Paragraphedeliste"/>
        <w:numPr>
          <w:ilvl w:val="0"/>
          <w:numId w:val="1"/>
        </w:numPr>
        <w:spacing w:after="120" w:line="240" w:lineRule="auto"/>
        <w:jc w:val="both"/>
        <w:rPr>
          <w:sz w:val="24"/>
          <w:szCs w:val="24"/>
        </w:rPr>
      </w:pPr>
      <w:r w:rsidRPr="00EF6DBC">
        <w:rPr>
          <w:sz w:val="24"/>
          <w:szCs w:val="24"/>
        </w:rPr>
        <w:t xml:space="preserve">Les dépenses de fonctionnement regroupent toutes </w:t>
      </w:r>
      <w:r w:rsidR="00701CD0">
        <w:rPr>
          <w:sz w:val="24"/>
          <w:szCs w:val="24"/>
        </w:rPr>
        <w:t xml:space="preserve">les dépenses </w:t>
      </w:r>
      <w:r w:rsidRPr="00EF6DBC">
        <w:rPr>
          <w:sz w:val="24"/>
          <w:szCs w:val="24"/>
        </w:rPr>
        <w:t>de la collectivité (charges courantes avec l’eau, l’électricité, les fournitures diverses)</w:t>
      </w:r>
      <w:r>
        <w:rPr>
          <w:sz w:val="24"/>
          <w:szCs w:val="24"/>
        </w:rPr>
        <w:t>,</w:t>
      </w:r>
    </w:p>
    <w:p w:rsidR="00EF6DBC" w:rsidRDefault="00EF6DBC" w:rsidP="00EF6DBC">
      <w:pPr>
        <w:pStyle w:val="Paragraphedeliste"/>
        <w:numPr>
          <w:ilvl w:val="0"/>
          <w:numId w:val="1"/>
        </w:numPr>
        <w:spacing w:after="120" w:line="240" w:lineRule="auto"/>
        <w:jc w:val="both"/>
        <w:rPr>
          <w:sz w:val="24"/>
          <w:szCs w:val="24"/>
        </w:rPr>
      </w:pPr>
      <w:r>
        <w:rPr>
          <w:sz w:val="24"/>
          <w:szCs w:val="24"/>
        </w:rPr>
        <w:t xml:space="preserve">Les autres charges </w:t>
      </w:r>
      <w:r w:rsidR="00701CD0">
        <w:rPr>
          <w:sz w:val="24"/>
          <w:szCs w:val="24"/>
        </w:rPr>
        <w:t>(contrat de prestation de service, petit entretien des bâtiments et de la voirie, primes d’assurance),</w:t>
      </w:r>
    </w:p>
    <w:p w:rsidR="00701CD0" w:rsidRDefault="00701CD0" w:rsidP="00EF6DBC">
      <w:pPr>
        <w:pStyle w:val="Paragraphedeliste"/>
        <w:numPr>
          <w:ilvl w:val="0"/>
          <w:numId w:val="1"/>
        </w:numPr>
        <w:spacing w:after="120" w:line="240" w:lineRule="auto"/>
        <w:jc w:val="both"/>
        <w:rPr>
          <w:sz w:val="24"/>
          <w:szCs w:val="24"/>
        </w:rPr>
      </w:pPr>
      <w:r>
        <w:rPr>
          <w:sz w:val="24"/>
          <w:szCs w:val="24"/>
        </w:rPr>
        <w:t>Charges de personnel</w:t>
      </w:r>
      <w:r w:rsidR="00D27B8B">
        <w:rPr>
          <w:sz w:val="24"/>
          <w:szCs w:val="24"/>
        </w:rPr>
        <w:t> : elles représentent</w:t>
      </w:r>
      <w:r w:rsidR="00012568">
        <w:rPr>
          <w:sz w:val="24"/>
          <w:szCs w:val="24"/>
        </w:rPr>
        <w:t xml:space="preserve"> 50 %</w:t>
      </w:r>
      <w:r w:rsidR="00D27B8B">
        <w:rPr>
          <w:sz w:val="24"/>
          <w:szCs w:val="24"/>
        </w:rPr>
        <w:t xml:space="preserve"> du budget du fonctionnement et comprennent les salaires et charges sociales d</w:t>
      </w:r>
      <w:r w:rsidR="0075763B">
        <w:rPr>
          <w:sz w:val="24"/>
          <w:szCs w:val="24"/>
        </w:rPr>
        <w:t xml:space="preserve">u personnel de la collectivité : </w:t>
      </w:r>
      <w:r w:rsidR="00D27B8B">
        <w:rPr>
          <w:sz w:val="24"/>
          <w:szCs w:val="24"/>
        </w:rPr>
        <w:t>6 personnes rémunérées au 01/01/2019 dont 6 fonctionnaires 3 à temps complet, 3 à temps non complet, 1 personne sera embauchée au 1</w:t>
      </w:r>
      <w:r w:rsidR="00D27B8B" w:rsidRPr="00D27B8B">
        <w:rPr>
          <w:sz w:val="24"/>
          <w:szCs w:val="24"/>
          <w:vertAlign w:val="superscript"/>
        </w:rPr>
        <w:t>er</w:t>
      </w:r>
      <w:r w:rsidR="00D27B8B">
        <w:rPr>
          <w:sz w:val="24"/>
          <w:szCs w:val="24"/>
        </w:rPr>
        <w:t xml:space="preserve"> avril à mi-temps pour un contrat à durée déterminée de 7 mois pour accroissement d’activité</w:t>
      </w:r>
      <w:r w:rsidR="0075763B">
        <w:rPr>
          <w:sz w:val="24"/>
          <w:szCs w:val="24"/>
        </w:rPr>
        <w:t xml:space="preserve"> (période de printemps pour tonte et débroussaillage et période d’été pour travaux dans les bâtiments publics),</w:t>
      </w:r>
    </w:p>
    <w:p w:rsidR="00EF6DBC" w:rsidRDefault="00EF6DBC" w:rsidP="00EF6DBC">
      <w:pPr>
        <w:pStyle w:val="Paragraphedeliste"/>
        <w:numPr>
          <w:ilvl w:val="0"/>
          <w:numId w:val="1"/>
        </w:numPr>
        <w:spacing w:after="120" w:line="240" w:lineRule="auto"/>
        <w:jc w:val="both"/>
        <w:rPr>
          <w:sz w:val="24"/>
          <w:szCs w:val="24"/>
        </w:rPr>
      </w:pPr>
      <w:r>
        <w:rPr>
          <w:sz w:val="24"/>
          <w:szCs w:val="24"/>
        </w:rPr>
        <w:lastRenderedPageBreak/>
        <w:t>Les prestations de service</w:t>
      </w:r>
      <w:r w:rsidR="002C51F9">
        <w:rPr>
          <w:sz w:val="24"/>
          <w:szCs w:val="24"/>
        </w:rPr>
        <w:t>,</w:t>
      </w:r>
      <w:r>
        <w:rPr>
          <w:sz w:val="24"/>
          <w:szCs w:val="24"/>
        </w:rPr>
        <w:t xml:space="preserve"> </w:t>
      </w:r>
    </w:p>
    <w:p w:rsidR="00EF6DBC" w:rsidRDefault="00EF6DBC" w:rsidP="00EF6DBC">
      <w:pPr>
        <w:pStyle w:val="Paragraphedeliste"/>
        <w:numPr>
          <w:ilvl w:val="0"/>
          <w:numId w:val="1"/>
        </w:numPr>
        <w:spacing w:after="120" w:line="240" w:lineRule="auto"/>
        <w:jc w:val="both"/>
        <w:rPr>
          <w:sz w:val="24"/>
          <w:szCs w:val="24"/>
        </w:rPr>
      </w:pPr>
      <w:r>
        <w:rPr>
          <w:sz w:val="24"/>
          <w:szCs w:val="24"/>
        </w:rPr>
        <w:t>Les honoraires</w:t>
      </w:r>
      <w:r w:rsidR="002C51F9">
        <w:rPr>
          <w:sz w:val="24"/>
          <w:szCs w:val="24"/>
        </w:rPr>
        <w:t>,</w:t>
      </w:r>
    </w:p>
    <w:p w:rsidR="00055C86" w:rsidRPr="00F6748C" w:rsidRDefault="00055C86" w:rsidP="00F6748C">
      <w:pPr>
        <w:pStyle w:val="Paragraphedeliste"/>
        <w:numPr>
          <w:ilvl w:val="0"/>
          <w:numId w:val="1"/>
        </w:numPr>
        <w:spacing w:after="120" w:line="240" w:lineRule="auto"/>
        <w:jc w:val="both"/>
        <w:rPr>
          <w:sz w:val="24"/>
          <w:szCs w:val="24"/>
        </w:rPr>
      </w:pPr>
      <w:r w:rsidRPr="00F6748C">
        <w:rPr>
          <w:sz w:val="24"/>
          <w:szCs w:val="24"/>
        </w:rPr>
        <w:t xml:space="preserve">Les charges de gestion courante comprennent les indemnités des élus, les contributions aux organismes regroupés, </w:t>
      </w:r>
      <w:r w:rsidR="00F6748C">
        <w:rPr>
          <w:sz w:val="24"/>
          <w:szCs w:val="24"/>
        </w:rPr>
        <w:t>au</w:t>
      </w:r>
      <w:r w:rsidRPr="00F6748C">
        <w:rPr>
          <w:sz w:val="24"/>
          <w:szCs w:val="24"/>
        </w:rPr>
        <w:t xml:space="preserve"> service incendie, les subventions allouées aux associations</w:t>
      </w:r>
      <w:r w:rsidR="002C51F9">
        <w:rPr>
          <w:sz w:val="24"/>
          <w:szCs w:val="24"/>
        </w:rPr>
        <w:t>,</w:t>
      </w:r>
    </w:p>
    <w:p w:rsidR="00055C86" w:rsidRPr="00F6748C" w:rsidRDefault="00055C86" w:rsidP="00F6748C">
      <w:pPr>
        <w:pStyle w:val="Paragraphedeliste"/>
        <w:numPr>
          <w:ilvl w:val="0"/>
          <w:numId w:val="1"/>
        </w:numPr>
        <w:spacing w:after="120" w:line="240" w:lineRule="auto"/>
        <w:jc w:val="both"/>
        <w:rPr>
          <w:sz w:val="24"/>
          <w:szCs w:val="24"/>
        </w:rPr>
      </w:pPr>
      <w:r w:rsidRPr="00F6748C">
        <w:rPr>
          <w:sz w:val="24"/>
          <w:szCs w:val="24"/>
        </w:rPr>
        <w:t xml:space="preserve">Les charges financières permettent de régler les intérêts des emprunts en cours, le remboursement du capital est porté en section d’investissement, </w:t>
      </w:r>
      <w:r w:rsidR="00DE1C62">
        <w:rPr>
          <w:sz w:val="24"/>
          <w:szCs w:val="24"/>
        </w:rPr>
        <w:t xml:space="preserve">la commune </w:t>
      </w:r>
      <w:r w:rsidR="001B7ABB">
        <w:rPr>
          <w:sz w:val="24"/>
          <w:szCs w:val="24"/>
        </w:rPr>
        <w:t>à</w:t>
      </w:r>
      <w:r w:rsidR="00DE1C62">
        <w:rPr>
          <w:sz w:val="24"/>
          <w:szCs w:val="24"/>
        </w:rPr>
        <w:t xml:space="preserve"> 3 </w:t>
      </w:r>
      <w:r w:rsidRPr="00F6748C">
        <w:rPr>
          <w:sz w:val="24"/>
          <w:szCs w:val="24"/>
        </w:rPr>
        <w:t xml:space="preserve"> emprunts en cours :   </w:t>
      </w:r>
    </w:p>
    <w:p w:rsidR="00055C86" w:rsidRDefault="00055C86" w:rsidP="00055C86">
      <w:pPr>
        <w:pStyle w:val="Paragraphedeliste"/>
        <w:numPr>
          <w:ilvl w:val="0"/>
          <w:numId w:val="1"/>
        </w:numPr>
        <w:spacing w:after="120" w:line="240" w:lineRule="auto"/>
        <w:jc w:val="both"/>
        <w:rPr>
          <w:sz w:val="24"/>
          <w:szCs w:val="24"/>
        </w:rPr>
      </w:pPr>
      <w:r>
        <w:rPr>
          <w:sz w:val="24"/>
          <w:szCs w:val="24"/>
        </w:rPr>
        <w:t xml:space="preserve">Un pour l’acquisition du terrain de Brune </w:t>
      </w:r>
      <w:r w:rsidR="001B7ABB">
        <w:rPr>
          <w:sz w:val="24"/>
          <w:szCs w:val="24"/>
        </w:rPr>
        <w:t>où il reste 2 annuités à payer</w:t>
      </w:r>
      <w:r w:rsidR="009F020D">
        <w:rPr>
          <w:sz w:val="24"/>
          <w:szCs w:val="24"/>
        </w:rPr>
        <w:t>,</w:t>
      </w:r>
    </w:p>
    <w:p w:rsidR="00055C86" w:rsidRDefault="001B7ABB" w:rsidP="00055C86">
      <w:pPr>
        <w:pStyle w:val="Paragraphedeliste"/>
        <w:numPr>
          <w:ilvl w:val="0"/>
          <w:numId w:val="1"/>
        </w:numPr>
        <w:spacing w:after="120" w:line="240" w:lineRule="auto"/>
        <w:jc w:val="both"/>
        <w:rPr>
          <w:sz w:val="24"/>
          <w:szCs w:val="24"/>
        </w:rPr>
      </w:pPr>
      <w:r>
        <w:rPr>
          <w:sz w:val="24"/>
          <w:szCs w:val="24"/>
        </w:rPr>
        <w:t>Un pour l’aménagement de Brune où il reste 2 annuités à payer</w:t>
      </w:r>
    </w:p>
    <w:p w:rsidR="001B7ABB" w:rsidRDefault="001B7ABB" w:rsidP="001B7ABB">
      <w:pPr>
        <w:pStyle w:val="Paragraphedeliste"/>
        <w:numPr>
          <w:ilvl w:val="0"/>
          <w:numId w:val="1"/>
        </w:numPr>
        <w:spacing w:after="120" w:line="240" w:lineRule="auto"/>
        <w:jc w:val="both"/>
        <w:rPr>
          <w:sz w:val="24"/>
          <w:szCs w:val="24"/>
        </w:rPr>
      </w:pPr>
      <w:r>
        <w:rPr>
          <w:sz w:val="24"/>
          <w:szCs w:val="24"/>
        </w:rPr>
        <w:t>Un pour la construction du réfectoire contracté en 2017 et où il reste 18 annuités à payer.</w:t>
      </w:r>
    </w:p>
    <w:p w:rsidR="001B7ABB" w:rsidRPr="001B7ABB" w:rsidRDefault="001B7ABB" w:rsidP="001B7ABB">
      <w:pPr>
        <w:pStyle w:val="Paragraphedeliste"/>
        <w:spacing w:after="120" w:line="240" w:lineRule="auto"/>
        <w:jc w:val="both"/>
        <w:rPr>
          <w:sz w:val="24"/>
          <w:szCs w:val="24"/>
        </w:rPr>
      </w:pPr>
      <w:r>
        <w:rPr>
          <w:sz w:val="24"/>
          <w:szCs w:val="24"/>
        </w:rPr>
        <w:t xml:space="preserve">A cela s’ajoute un prêt à court terme dont une partie (117 695,07 €) sera remboursée au 30/05 et l’autre partie (182 304,93 €) sera </w:t>
      </w:r>
      <w:proofErr w:type="gramStart"/>
      <w:r w:rsidR="00346898">
        <w:rPr>
          <w:sz w:val="24"/>
          <w:szCs w:val="24"/>
        </w:rPr>
        <w:t>remboursé</w:t>
      </w:r>
      <w:r w:rsidR="002C51F9">
        <w:rPr>
          <w:sz w:val="24"/>
          <w:szCs w:val="24"/>
        </w:rPr>
        <w:t>e</w:t>
      </w:r>
      <w:proofErr w:type="gramEnd"/>
      <w:r>
        <w:rPr>
          <w:sz w:val="24"/>
          <w:szCs w:val="24"/>
        </w:rPr>
        <w:t xml:space="preserve"> au 30/05/2020 après le versement du FCTVA (remboursement de la TVA sur les dépenses d’investissement).</w:t>
      </w:r>
    </w:p>
    <w:p w:rsidR="002F2DB8" w:rsidRDefault="002F2DB8" w:rsidP="002F2DB8">
      <w:pPr>
        <w:spacing w:after="120" w:line="240" w:lineRule="auto"/>
        <w:jc w:val="both"/>
        <w:rPr>
          <w:sz w:val="24"/>
          <w:szCs w:val="24"/>
        </w:rPr>
      </w:pPr>
      <w:r>
        <w:rPr>
          <w:sz w:val="24"/>
          <w:szCs w:val="24"/>
        </w:rPr>
        <w:t>Les recettes de fonctionnement proviennent :</w:t>
      </w:r>
    </w:p>
    <w:p w:rsidR="002F2DB8" w:rsidRDefault="002F2DB8" w:rsidP="002F2DB8">
      <w:pPr>
        <w:pStyle w:val="Paragraphedeliste"/>
        <w:numPr>
          <w:ilvl w:val="0"/>
          <w:numId w:val="1"/>
        </w:numPr>
        <w:spacing w:after="120" w:line="240" w:lineRule="auto"/>
        <w:jc w:val="both"/>
        <w:rPr>
          <w:sz w:val="24"/>
          <w:szCs w:val="24"/>
        </w:rPr>
      </w:pPr>
      <w:r>
        <w:rPr>
          <w:sz w:val="24"/>
          <w:szCs w:val="24"/>
        </w:rPr>
        <w:t>Du produit des services (concessions cimetière, redevances périscolaires)</w:t>
      </w:r>
      <w:r w:rsidR="009F020D">
        <w:rPr>
          <w:sz w:val="24"/>
          <w:szCs w:val="24"/>
        </w:rPr>
        <w:t>,</w:t>
      </w:r>
    </w:p>
    <w:p w:rsidR="002F2DB8" w:rsidRDefault="002F2DB8" w:rsidP="002F2DB8">
      <w:pPr>
        <w:pStyle w:val="Paragraphedeliste"/>
        <w:numPr>
          <w:ilvl w:val="0"/>
          <w:numId w:val="1"/>
        </w:numPr>
        <w:spacing w:after="120" w:line="240" w:lineRule="auto"/>
        <w:jc w:val="both"/>
        <w:rPr>
          <w:sz w:val="24"/>
          <w:szCs w:val="24"/>
        </w:rPr>
      </w:pPr>
      <w:r>
        <w:rPr>
          <w:sz w:val="24"/>
          <w:szCs w:val="24"/>
        </w:rPr>
        <w:t>Des impôts et taxes (pas d’augmentation des taux</w:t>
      </w:r>
      <w:r w:rsidR="00DA7142">
        <w:rPr>
          <w:sz w:val="24"/>
          <w:szCs w:val="24"/>
        </w:rPr>
        <w:t xml:space="preserve"> communaux pour cette année 2019 encore</w:t>
      </w:r>
      <w:r w:rsidR="00012568">
        <w:rPr>
          <w:sz w:val="24"/>
          <w:szCs w:val="24"/>
        </w:rPr>
        <w:t xml:space="preserve"> ; </w:t>
      </w:r>
      <w:r w:rsidR="002C51F9">
        <w:rPr>
          <w:sz w:val="24"/>
          <w:szCs w:val="24"/>
        </w:rPr>
        <w:t>p</w:t>
      </w:r>
      <w:r w:rsidR="00012568">
        <w:rPr>
          <w:sz w:val="24"/>
          <w:szCs w:val="24"/>
        </w:rPr>
        <w:t>our rappel les taux sont les suivants : Taxe Habitation 7.25 %, Foncier Bâti : 14.49 %, Foncier non Bâti : 40.76 %</w:t>
      </w:r>
      <w:r w:rsidR="002C51F9">
        <w:rPr>
          <w:sz w:val="24"/>
          <w:szCs w:val="24"/>
        </w:rPr>
        <w:t xml:space="preserve">) </w:t>
      </w:r>
      <w:r w:rsidR="00012568">
        <w:rPr>
          <w:sz w:val="24"/>
          <w:szCs w:val="24"/>
        </w:rPr>
        <w:t xml:space="preserve"> </w:t>
      </w:r>
      <w:r>
        <w:rPr>
          <w:sz w:val="24"/>
          <w:szCs w:val="24"/>
        </w:rPr>
        <w:t xml:space="preserve">et des dotations de l’Etat qui diminuent </w:t>
      </w:r>
      <w:r w:rsidR="00DA7142">
        <w:rPr>
          <w:sz w:val="24"/>
          <w:szCs w:val="24"/>
        </w:rPr>
        <w:t>d’année en année,</w:t>
      </w:r>
      <w:r>
        <w:rPr>
          <w:sz w:val="24"/>
          <w:szCs w:val="24"/>
        </w:rPr>
        <w:t xml:space="preserve"> </w:t>
      </w:r>
      <w:r w:rsidR="00DA7142">
        <w:rPr>
          <w:sz w:val="24"/>
          <w:szCs w:val="24"/>
        </w:rPr>
        <w:t>74978</w:t>
      </w:r>
      <w:r>
        <w:rPr>
          <w:sz w:val="24"/>
          <w:szCs w:val="24"/>
        </w:rPr>
        <w:t xml:space="preserve"> en 2014, </w:t>
      </w:r>
      <w:r w:rsidR="00DA7142">
        <w:rPr>
          <w:sz w:val="24"/>
          <w:szCs w:val="24"/>
        </w:rPr>
        <w:t>64693 en 2015,</w:t>
      </w:r>
      <w:r>
        <w:rPr>
          <w:sz w:val="24"/>
          <w:szCs w:val="24"/>
        </w:rPr>
        <w:t xml:space="preserve"> 56108 en 2016, </w:t>
      </w:r>
      <w:r w:rsidR="00DA7142">
        <w:rPr>
          <w:sz w:val="24"/>
          <w:szCs w:val="24"/>
        </w:rPr>
        <w:t xml:space="preserve">47265 en </w:t>
      </w:r>
      <w:r w:rsidRPr="002F2DB8">
        <w:rPr>
          <w:sz w:val="24"/>
          <w:szCs w:val="24"/>
        </w:rPr>
        <w:t>2017</w:t>
      </w:r>
      <w:r w:rsidR="009F020D">
        <w:rPr>
          <w:sz w:val="24"/>
          <w:szCs w:val="24"/>
        </w:rPr>
        <w:t>,</w:t>
      </w:r>
      <w:r w:rsidR="00DA7142">
        <w:rPr>
          <w:sz w:val="24"/>
          <w:szCs w:val="24"/>
        </w:rPr>
        <w:t xml:space="preserve"> 42399 en 2018 et 39045 pour 2019</w:t>
      </w:r>
    </w:p>
    <w:p w:rsidR="002F2DB8" w:rsidRDefault="002F2DB8" w:rsidP="002F2DB8">
      <w:pPr>
        <w:pStyle w:val="Paragraphedeliste"/>
        <w:numPr>
          <w:ilvl w:val="0"/>
          <w:numId w:val="1"/>
        </w:numPr>
        <w:spacing w:after="120" w:line="240" w:lineRule="auto"/>
        <w:jc w:val="both"/>
        <w:rPr>
          <w:sz w:val="24"/>
          <w:szCs w:val="24"/>
        </w:rPr>
      </w:pPr>
      <w:r w:rsidRPr="002F2DB8">
        <w:rPr>
          <w:sz w:val="24"/>
          <w:szCs w:val="24"/>
        </w:rPr>
        <w:t xml:space="preserve"> des autres produits de gestion courante : location de salle</w:t>
      </w:r>
      <w:r w:rsidR="002C51F9">
        <w:rPr>
          <w:sz w:val="24"/>
          <w:szCs w:val="24"/>
        </w:rPr>
        <w:t xml:space="preserve"> essentiellement</w:t>
      </w:r>
      <w:r w:rsidR="009F020D">
        <w:rPr>
          <w:sz w:val="24"/>
          <w:szCs w:val="24"/>
        </w:rPr>
        <w:t>.</w:t>
      </w:r>
    </w:p>
    <w:p w:rsidR="00210BC5" w:rsidRDefault="002F2DB8" w:rsidP="002F2DB8">
      <w:pPr>
        <w:spacing w:after="120" w:line="240" w:lineRule="auto"/>
        <w:jc w:val="both"/>
        <w:rPr>
          <w:sz w:val="24"/>
          <w:szCs w:val="24"/>
        </w:rPr>
      </w:pPr>
      <w:r>
        <w:rPr>
          <w:sz w:val="24"/>
          <w:szCs w:val="24"/>
        </w:rPr>
        <w:t xml:space="preserve">A </w:t>
      </w:r>
      <w:r w:rsidR="00DA7142">
        <w:rPr>
          <w:sz w:val="24"/>
          <w:szCs w:val="24"/>
        </w:rPr>
        <w:t>ces recettes se rajoute</w:t>
      </w:r>
      <w:r>
        <w:rPr>
          <w:sz w:val="24"/>
          <w:szCs w:val="24"/>
        </w:rPr>
        <w:t xml:space="preserve"> l’excédent reporté de l’année antérieure. Voici les principales dépenses et recettes de la section de fonctionnement</w:t>
      </w:r>
      <w:r w:rsidR="00012568">
        <w:rPr>
          <w:sz w:val="24"/>
          <w:szCs w:val="24"/>
        </w:rPr>
        <w:t xml:space="preserve"> pour l’année 2019 :</w:t>
      </w:r>
    </w:p>
    <w:tbl>
      <w:tblPr>
        <w:tblStyle w:val="Grilledutableau"/>
        <w:tblW w:w="10490" w:type="dxa"/>
        <w:tblInd w:w="-714" w:type="dxa"/>
        <w:tblLook w:val="04A0" w:firstRow="1" w:lastRow="0" w:firstColumn="1" w:lastColumn="0" w:noHBand="0" w:noVBand="1"/>
      </w:tblPr>
      <w:tblGrid>
        <w:gridCol w:w="3686"/>
        <w:gridCol w:w="1843"/>
        <w:gridCol w:w="3402"/>
        <w:gridCol w:w="1559"/>
      </w:tblGrid>
      <w:tr w:rsidR="00A91E38" w:rsidTr="004074FE">
        <w:tc>
          <w:tcPr>
            <w:tcW w:w="5529" w:type="dxa"/>
            <w:gridSpan w:val="2"/>
          </w:tcPr>
          <w:p w:rsidR="00A91E38" w:rsidRDefault="00A91E38" w:rsidP="00A91E38">
            <w:pPr>
              <w:spacing w:after="120"/>
              <w:jc w:val="center"/>
              <w:rPr>
                <w:sz w:val="24"/>
                <w:szCs w:val="24"/>
              </w:rPr>
            </w:pPr>
            <w:r>
              <w:rPr>
                <w:sz w:val="24"/>
                <w:szCs w:val="24"/>
              </w:rPr>
              <w:t>DEPENSES</w:t>
            </w:r>
          </w:p>
        </w:tc>
        <w:tc>
          <w:tcPr>
            <w:tcW w:w="4961" w:type="dxa"/>
            <w:gridSpan w:val="2"/>
          </w:tcPr>
          <w:p w:rsidR="00A91E38" w:rsidRDefault="00A91E38" w:rsidP="00A91E38">
            <w:pPr>
              <w:spacing w:after="120"/>
              <w:jc w:val="center"/>
              <w:rPr>
                <w:sz w:val="24"/>
                <w:szCs w:val="24"/>
              </w:rPr>
            </w:pPr>
            <w:r>
              <w:rPr>
                <w:sz w:val="24"/>
                <w:szCs w:val="24"/>
              </w:rPr>
              <w:t>RECETTES</w:t>
            </w:r>
          </w:p>
        </w:tc>
      </w:tr>
      <w:tr w:rsidR="00A91E38" w:rsidTr="004074FE">
        <w:tc>
          <w:tcPr>
            <w:tcW w:w="3686" w:type="dxa"/>
          </w:tcPr>
          <w:p w:rsidR="00A91E38" w:rsidRPr="004074FE" w:rsidRDefault="004074FE" w:rsidP="002F2DB8">
            <w:pPr>
              <w:spacing w:after="120"/>
              <w:jc w:val="both"/>
            </w:pPr>
            <w:r w:rsidRPr="004074FE">
              <w:t>Charges courantes</w:t>
            </w:r>
          </w:p>
        </w:tc>
        <w:tc>
          <w:tcPr>
            <w:tcW w:w="1843" w:type="dxa"/>
          </w:tcPr>
          <w:p w:rsidR="00A91E38" w:rsidRPr="004074FE" w:rsidRDefault="00DA7142" w:rsidP="00A47CD2">
            <w:pPr>
              <w:spacing w:after="120"/>
              <w:jc w:val="right"/>
            </w:pPr>
            <w:r>
              <w:t>118 050</w:t>
            </w:r>
            <w:r w:rsidR="00A47CD2">
              <w:t xml:space="preserve"> €</w:t>
            </w:r>
          </w:p>
        </w:tc>
        <w:tc>
          <w:tcPr>
            <w:tcW w:w="3402" w:type="dxa"/>
          </w:tcPr>
          <w:p w:rsidR="00A91E38" w:rsidRPr="004074FE" w:rsidRDefault="004074FE" w:rsidP="002F2DB8">
            <w:pPr>
              <w:spacing w:after="120"/>
              <w:jc w:val="both"/>
            </w:pPr>
            <w:r>
              <w:t>Produits des services</w:t>
            </w:r>
          </w:p>
        </w:tc>
        <w:tc>
          <w:tcPr>
            <w:tcW w:w="1559" w:type="dxa"/>
          </w:tcPr>
          <w:p w:rsidR="00A91E38" w:rsidRPr="004074FE" w:rsidRDefault="00DA7142" w:rsidP="00A47CD2">
            <w:pPr>
              <w:spacing w:after="120"/>
              <w:jc w:val="right"/>
            </w:pPr>
            <w:r>
              <w:t>18</w:t>
            </w:r>
            <w:r w:rsidR="00A47CD2">
              <w:t> 000 €</w:t>
            </w:r>
          </w:p>
        </w:tc>
      </w:tr>
      <w:tr w:rsidR="00A91E38" w:rsidTr="004074FE">
        <w:tc>
          <w:tcPr>
            <w:tcW w:w="3686" w:type="dxa"/>
          </w:tcPr>
          <w:p w:rsidR="00A91E38" w:rsidRPr="004074FE" w:rsidRDefault="004074FE" w:rsidP="002F2DB8">
            <w:pPr>
              <w:spacing w:after="120"/>
              <w:jc w:val="both"/>
            </w:pPr>
            <w:r>
              <w:t>Dépenses de personnel</w:t>
            </w:r>
          </w:p>
        </w:tc>
        <w:tc>
          <w:tcPr>
            <w:tcW w:w="1843" w:type="dxa"/>
          </w:tcPr>
          <w:p w:rsidR="00A91E38" w:rsidRPr="004074FE" w:rsidRDefault="00DA7142" w:rsidP="00A47CD2">
            <w:pPr>
              <w:spacing w:after="120"/>
              <w:jc w:val="right"/>
            </w:pPr>
            <w:r>
              <w:t>237 814</w:t>
            </w:r>
            <w:r w:rsidR="00A47CD2">
              <w:t xml:space="preserve"> €</w:t>
            </w:r>
          </w:p>
        </w:tc>
        <w:tc>
          <w:tcPr>
            <w:tcW w:w="3402" w:type="dxa"/>
          </w:tcPr>
          <w:p w:rsidR="00A91E38" w:rsidRPr="004074FE" w:rsidRDefault="004074FE" w:rsidP="002F2DB8">
            <w:pPr>
              <w:spacing w:after="120"/>
              <w:jc w:val="both"/>
            </w:pPr>
            <w:r>
              <w:t>Impôts et taxes</w:t>
            </w:r>
          </w:p>
        </w:tc>
        <w:tc>
          <w:tcPr>
            <w:tcW w:w="1559" w:type="dxa"/>
          </w:tcPr>
          <w:p w:rsidR="00A91E38" w:rsidRPr="004074FE" w:rsidRDefault="00DA7142" w:rsidP="00A47CD2">
            <w:pPr>
              <w:spacing w:after="120"/>
              <w:jc w:val="right"/>
            </w:pPr>
            <w:r>
              <w:t>362 555</w:t>
            </w:r>
            <w:r w:rsidR="00A47CD2">
              <w:t xml:space="preserve"> €</w:t>
            </w:r>
          </w:p>
        </w:tc>
      </w:tr>
      <w:tr w:rsidR="00A91E38" w:rsidTr="004074FE">
        <w:tc>
          <w:tcPr>
            <w:tcW w:w="3686" w:type="dxa"/>
          </w:tcPr>
          <w:p w:rsidR="00A91E38" w:rsidRPr="004074FE" w:rsidRDefault="004074FE" w:rsidP="002F2DB8">
            <w:pPr>
              <w:spacing w:after="120"/>
              <w:jc w:val="both"/>
            </w:pPr>
            <w:r>
              <w:t>Autres charges de gestion courante</w:t>
            </w:r>
          </w:p>
        </w:tc>
        <w:tc>
          <w:tcPr>
            <w:tcW w:w="1843" w:type="dxa"/>
          </w:tcPr>
          <w:p w:rsidR="00A91E38" w:rsidRPr="004074FE" w:rsidRDefault="00DA7142" w:rsidP="00A47CD2">
            <w:pPr>
              <w:spacing w:after="120"/>
              <w:jc w:val="right"/>
            </w:pPr>
            <w:r>
              <w:t>72 127</w:t>
            </w:r>
            <w:r w:rsidR="00A47CD2">
              <w:t xml:space="preserve"> €</w:t>
            </w:r>
          </w:p>
        </w:tc>
        <w:tc>
          <w:tcPr>
            <w:tcW w:w="3402" w:type="dxa"/>
          </w:tcPr>
          <w:p w:rsidR="00A91E38" w:rsidRPr="004074FE" w:rsidRDefault="004074FE" w:rsidP="002F2DB8">
            <w:pPr>
              <w:spacing w:after="120"/>
              <w:jc w:val="both"/>
            </w:pPr>
            <w:r>
              <w:t>Dotations  et participations</w:t>
            </w:r>
          </w:p>
        </w:tc>
        <w:tc>
          <w:tcPr>
            <w:tcW w:w="1559" w:type="dxa"/>
          </w:tcPr>
          <w:p w:rsidR="00A91E38" w:rsidRPr="004074FE" w:rsidRDefault="00DA7142" w:rsidP="00A47CD2">
            <w:pPr>
              <w:spacing w:after="120"/>
              <w:jc w:val="right"/>
            </w:pPr>
            <w:r>
              <w:t>45 473</w:t>
            </w:r>
            <w:r w:rsidR="00A47CD2">
              <w:t xml:space="preserve"> €</w:t>
            </w:r>
          </w:p>
        </w:tc>
      </w:tr>
      <w:tr w:rsidR="00CE7478" w:rsidTr="004074FE">
        <w:tc>
          <w:tcPr>
            <w:tcW w:w="3686" w:type="dxa"/>
          </w:tcPr>
          <w:p w:rsidR="00CE7478" w:rsidRDefault="00CE7478" w:rsidP="00CE7478">
            <w:pPr>
              <w:spacing w:after="120"/>
              <w:jc w:val="both"/>
            </w:pPr>
            <w:r>
              <w:t>Fonds péréquation interco</w:t>
            </w:r>
            <w:r w:rsidR="00EE417D">
              <w:t>mmunal</w:t>
            </w:r>
          </w:p>
        </w:tc>
        <w:tc>
          <w:tcPr>
            <w:tcW w:w="1843" w:type="dxa"/>
          </w:tcPr>
          <w:p w:rsidR="00CE7478" w:rsidRDefault="00CE7478" w:rsidP="00CE7478">
            <w:pPr>
              <w:spacing w:after="120"/>
              <w:jc w:val="right"/>
            </w:pPr>
            <w:r>
              <w:t>20 000 €</w:t>
            </w:r>
          </w:p>
        </w:tc>
        <w:tc>
          <w:tcPr>
            <w:tcW w:w="3402" w:type="dxa"/>
          </w:tcPr>
          <w:p w:rsidR="00CE7478" w:rsidRDefault="00CE7478" w:rsidP="00CE7478">
            <w:pPr>
              <w:spacing w:after="120"/>
              <w:jc w:val="both"/>
            </w:pPr>
            <w:r>
              <w:t>Autres produits</w:t>
            </w:r>
          </w:p>
        </w:tc>
        <w:tc>
          <w:tcPr>
            <w:tcW w:w="1559" w:type="dxa"/>
          </w:tcPr>
          <w:p w:rsidR="00CE7478" w:rsidRPr="004074FE" w:rsidRDefault="00CE7478" w:rsidP="00CE7478">
            <w:pPr>
              <w:spacing w:after="120"/>
              <w:jc w:val="right"/>
            </w:pPr>
            <w:r>
              <w:t>6 000 €</w:t>
            </w:r>
          </w:p>
        </w:tc>
      </w:tr>
      <w:tr w:rsidR="00CE7478" w:rsidTr="004074FE">
        <w:tc>
          <w:tcPr>
            <w:tcW w:w="3686" w:type="dxa"/>
          </w:tcPr>
          <w:p w:rsidR="00CE7478" w:rsidRPr="004074FE" w:rsidRDefault="00CE7478" w:rsidP="00CE7478">
            <w:pPr>
              <w:spacing w:after="120"/>
              <w:jc w:val="both"/>
            </w:pPr>
            <w:r>
              <w:t>Charges financières et excep</w:t>
            </w:r>
            <w:r w:rsidR="00EE417D">
              <w:t>tionnelles</w:t>
            </w:r>
          </w:p>
        </w:tc>
        <w:tc>
          <w:tcPr>
            <w:tcW w:w="1843" w:type="dxa"/>
          </w:tcPr>
          <w:p w:rsidR="00CE7478" w:rsidRPr="004074FE" w:rsidRDefault="00CE7478" w:rsidP="00CE7478">
            <w:pPr>
              <w:spacing w:after="120"/>
              <w:jc w:val="right"/>
            </w:pPr>
            <w:r>
              <w:t>13 000 €</w:t>
            </w:r>
          </w:p>
        </w:tc>
        <w:tc>
          <w:tcPr>
            <w:tcW w:w="3402" w:type="dxa"/>
          </w:tcPr>
          <w:p w:rsidR="00CE7478" w:rsidRPr="004074FE" w:rsidRDefault="00CE7478" w:rsidP="00CE7478">
            <w:pPr>
              <w:spacing w:after="120"/>
              <w:jc w:val="both"/>
            </w:pPr>
            <w:r>
              <w:t>Ecritures d’ordres</w:t>
            </w:r>
          </w:p>
        </w:tc>
        <w:tc>
          <w:tcPr>
            <w:tcW w:w="1559" w:type="dxa"/>
          </w:tcPr>
          <w:p w:rsidR="00CE7478" w:rsidRPr="004074FE" w:rsidRDefault="00CE7478" w:rsidP="00CE7478">
            <w:pPr>
              <w:spacing w:after="120"/>
              <w:jc w:val="right"/>
            </w:pPr>
            <w:r>
              <w:t>1 200 €</w:t>
            </w:r>
          </w:p>
        </w:tc>
      </w:tr>
      <w:tr w:rsidR="00CE7478" w:rsidTr="004074FE">
        <w:tc>
          <w:tcPr>
            <w:tcW w:w="3686" w:type="dxa"/>
          </w:tcPr>
          <w:p w:rsidR="00CE7478" w:rsidRPr="004074FE" w:rsidRDefault="00CE7478" w:rsidP="00CE7478">
            <w:pPr>
              <w:spacing w:after="120"/>
              <w:jc w:val="both"/>
            </w:pPr>
            <w:r>
              <w:t>Ecritures d’ordres</w:t>
            </w:r>
          </w:p>
        </w:tc>
        <w:tc>
          <w:tcPr>
            <w:tcW w:w="1843" w:type="dxa"/>
          </w:tcPr>
          <w:p w:rsidR="00CE7478" w:rsidRPr="004074FE" w:rsidRDefault="00CE7478" w:rsidP="00CE7478">
            <w:pPr>
              <w:spacing w:after="120"/>
              <w:jc w:val="right"/>
            </w:pPr>
            <w:r>
              <w:t>6</w:t>
            </w:r>
            <w:r w:rsidR="002C51F9">
              <w:t xml:space="preserve"> </w:t>
            </w:r>
            <w:r>
              <w:t>986 €</w:t>
            </w:r>
          </w:p>
        </w:tc>
        <w:tc>
          <w:tcPr>
            <w:tcW w:w="3402" w:type="dxa"/>
          </w:tcPr>
          <w:p w:rsidR="00CE7478" w:rsidRPr="004074FE" w:rsidRDefault="00CE7478" w:rsidP="00CE7478">
            <w:pPr>
              <w:spacing w:after="120"/>
              <w:jc w:val="both"/>
            </w:pPr>
            <w:r>
              <w:t>Excédent reporté</w:t>
            </w:r>
          </w:p>
        </w:tc>
        <w:tc>
          <w:tcPr>
            <w:tcW w:w="1559" w:type="dxa"/>
          </w:tcPr>
          <w:p w:rsidR="00CE7478" w:rsidRPr="004074FE" w:rsidRDefault="00CE7478" w:rsidP="00CE7478">
            <w:pPr>
              <w:spacing w:after="120"/>
              <w:jc w:val="right"/>
            </w:pPr>
            <w:r>
              <w:t>43 010,13 €</w:t>
            </w:r>
          </w:p>
        </w:tc>
      </w:tr>
      <w:tr w:rsidR="00CE7478" w:rsidTr="004074FE">
        <w:tc>
          <w:tcPr>
            <w:tcW w:w="3686" w:type="dxa"/>
          </w:tcPr>
          <w:p w:rsidR="00CE7478" w:rsidRPr="004074FE" w:rsidRDefault="00CE7478" w:rsidP="00CE7478">
            <w:pPr>
              <w:spacing w:after="120"/>
              <w:jc w:val="both"/>
            </w:pPr>
            <w:r>
              <w:t>Virement à la section d’investissement</w:t>
            </w:r>
          </w:p>
        </w:tc>
        <w:tc>
          <w:tcPr>
            <w:tcW w:w="1843" w:type="dxa"/>
          </w:tcPr>
          <w:p w:rsidR="00CE7478" w:rsidRPr="004074FE" w:rsidRDefault="00CE7478" w:rsidP="00CE7478">
            <w:pPr>
              <w:spacing w:after="120"/>
              <w:jc w:val="right"/>
            </w:pPr>
            <w:r>
              <w:t>8</w:t>
            </w:r>
            <w:r w:rsidR="002C51F9">
              <w:t xml:space="preserve"> </w:t>
            </w:r>
            <w:r>
              <w:t>261,13 €</w:t>
            </w:r>
          </w:p>
        </w:tc>
        <w:tc>
          <w:tcPr>
            <w:tcW w:w="3402" w:type="dxa"/>
          </w:tcPr>
          <w:p w:rsidR="00CE7478" w:rsidRPr="004074FE" w:rsidRDefault="00CE7478" w:rsidP="00CE7478">
            <w:pPr>
              <w:spacing w:after="120"/>
              <w:jc w:val="both"/>
            </w:pPr>
          </w:p>
        </w:tc>
        <w:tc>
          <w:tcPr>
            <w:tcW w:w="1559" w:type="dxa"/>
          </w:tcPr>
          <w:p w:rsidR="00CE7478" w:rsidRPr="004074FE" w:rsidRDefault="00CE7478" w:rsidP="00CE7478">
            <w:pPr>
              <w:spacing w:after="120"/>
              <w:jc w:val="right"/>
            </w:pPr>
          </w:p>
        </w:tc>
      </w:tr>
      <w:tr w:rsidR="00CE7478" w:rsidRPr="005B5BB2" w:rsidTr="004074FE">
        <w:tc>
          <w:tcPr>
            <w:tcW w:w="3686" w:type="dxa"/>
          </w:tcPr>
          <w:p w:rsidR="00CE7478" w:rsidRPr="005B5BB2" w:rsidRDefault="00CE7478" w:rsidP="00CE7478">
            <w:pPr>
              <w:spacing w:after="120"/>
              <w:jc w:val="both"/>
              <w:rPr>
                <w:b/>
              </w:rPr>
            </w:pPr>
            <w:r w:rsidRPr="005B5BB2">
              <w:rPr>
                <w:b/>
              </w:rPr>
              <w:t>TOTAL</w:t>
            </w:r>
          </w:p>
        </w:tc>
        <w:tc>
          <w:tcPr>
            <w:tcW w:w="1843" w:type="dxa"/>
          </w:tcPr>
          <w:p w:rsidR="00CE7478" w:rsidRPr="005B5BB2" w:rsidRDefault="00CE7478" w:rsidP="00CE7478">
            <w:pPr>
              <w:spacing w:after="120"/>
              <w:jc w:val="right"/>
              <w:rPr>
                <w:b/>
              </w:rPr>
            </w:pPr>
            <w:r>
              <w:rPr>
                <w:b/>
              </w:rPr>
              <w:t>476 238,13</w:t>
            </w:r>
            <w:r w:rsidRPr="005B5BB2">
              <w:rPr>
                <w:b/>
              </w:rPr>
              <w:t xml:space="preserve"> €</w:t>
            </w:r>
          </w:p>
        </w:tc>
        <w:tc>
          <w:tcPr>
            <w:tcW w:w="3402" w:type="dxa"/>
          </w:tcPr>
          <w:p w:rsidR="00CE7478" w:rsidRPr="005B5BB2" w:rsidRDefault="00CE7478" w:rsidP="00CE7478">
            <w:pPr>
              <w:spacing w:after="120"/>
              <w:jc w:val="both"/>
              <w:rPr>
                <w:b/>
              </w:rPr>
            </w:pPr>
            <w:r w:rsidRPr="005B5BB2">
              <w:rPr>
                <w:b/>
              </w:rPr>
              <w:t>TOTAL</w:t>
            </w:r>
          </w:p>
        </w:tc>
        <w:tc>
          <w:tcPr>
            <w:tcW w:w="1559" w:type="dxa"/>
          </w:tcPr>
          <w:p w:rsidR="00CE7478" w:rsidRPr="005B5BB2" w:rsidRDefault="00CE7478" w:rsidP="00CE7478">
            <w:pPr>
              <w:spacing w:after="120"/>
              <w:jc w:val="right"/>
              <w:rPr>
                <w:b/>
              </w:rPr>
            </w:pPr>
            <w:r>
              <w:rPr>
                <w:b/>
              </w:rPr>
              <w:t xml:space="preserve">476 238,13 </w:t>
            </w:r>
            <w:r w:rsidRPr="005B5BB2">
              <w:rPr>
                <w:b/>
              </w:rPr>
              <w:t>€</w:t>
            </w:r>
          </w:p>
        </w:tc>
      </w:tr>
    </w:tbl>
    <w:p w:rsidR="002F2DB8" w:rsidRDefault="002F2DB8" w:rsidP="002F2DB8">
      <w:pPr>
        <w:spacing w:after="120" w:line="240" w:lineRule="auto"/>
        <w:jc w:val="both"/>
        <w:rPr>
          <w:sz w:val="24"/>
          <w:szCs w:val="24"/>
        </w:rPr>
      </w:pPr>
    </w:p>
    <w:p w:rsidR="004074FE" w:rsidRDefault="004074FE" w:rsidP="004074FE">
      <w:pPr>
        <w:spacing w:after="120" w:line="240" w:lineRule="auto"/>
        <w:jc w:val="both"/>
        <w:rPr>
          <w:b/>
          <w:sz w:val="24"/>
          <w:szCs w:val="24"/>
          <w:u w:val="single"/>
        </w:rPr>
      </w:pPr>
      <w:r>
        <w:rPr>
          <w:b/>
          <w:sz w:val="24"/>
          <w:szCs w:val="24"/>
          <w:u w:val="single"/>
        </w:rPr>
        <w:t>La section d’investissement</w:t>
      </w:r>
    </w:p>
    <w:p w:rsidR="000E6320" w:rsidRDefault="00A05504" w:rsidP="004074FE">
      <w:pPr>
        <w:spacing w:after="120" w:line="240" w:lineRule="auto"/>
        <w:jc w:val="both"/>
        <w:rPr>
          <w:sz w:val="24"/>
          <w:szCs w:val="24"/>
        </w:rPr>
      </w:pPr>
      <w:r>
        <w:rPr>
          <w:sz w:val="24"/>
          <w:szCs w:val="24"/>
        </w:rPr>
        <w:t>Les dépenses liées à cette section prépare</w:t>
      </w:r>
      <w:r w:rsidR="00F6748C">
        <w:rPr>
          <w:sz w:val="24"/>
          <w:szCs w:val="24"/>
        </w:rPr>
        <w:t>nt</w:t>
      </w:r>
      <w:r>
        <w:rPr>
          <w:sz w:val="24"/>
          <w:szCs w:val="24"/>
        </w:rPr>
        <w:t xml:space="preserve"> l’avenir et tradui</w:t>
      </w:r>
      <w:r w:rsidR="00F6748C">
        <w:rPr>
          <w:sz w:val="24"/>
          <w:szCs w:val="24"/>
        </w:rPr>
        <w:t>sen</w:t>
      </w:r>
      <w:r>
        <w:rPr>
          <w:sz w:val="24"/>
          <w:szCs w:val="24"/>
        </w:rPr>
        <w:t>t les projets de la commune à moyen ou long terme, elle concerne des actions à caractère exceptionnel, elle contribue à accroître le patrimoine de la commune (acquisition de biens immobiliers, de gros matériel, de matériel informatique, de véhicules) et permet de réaliser des gros travaux s</w:t>
      </w:r>
      <w:r w:rsidR="000E6320">
        <w:rPr>
          <w:sz w:val="24"/>
          <w:szCs w:val="24"/>
        </w:rPr>
        <w:t>ur des bâtiments déjà existants.</w:t>
      </w:r>
    </w:p>
    <w:p w:rsidR="00A05504" w:rsidRDefault="00A05504" w:rsidP="004074FE">
      <w:pPr>
        <w:spacing w:after="120" w:line="240" w:lineRule="auto"/>
        <w:jc w:val="both"/>
        <w:rPr>
          <w:sz w:val="24"/>
          <w:szCs w:val="24"/>
        </w:rPr>
      </w:pPr>
      <w:r>
        <w:rPr>
          <w:sz w:val="24"/>
          <w:szCs w:val="24"/>
        </w:rPr>
        <w:t xml:space="preserve">Pour équilibrer cette section les recettes proviennent : </w:t>
      </w:r>
    </w:p>
    <w:p w:rsidR="00A05504" w:rsidRDefault="00A05504" w:rsidP="00A05504">
      <w:pPr>
        <w:pStyle w:val="Paragraphedeliste"/>
        <w:numPr>
          <w:ilvl w:val="0"/>
          <w:numId w:val="1"/>
        </w:numPr>
        <w:spacing w:after="120" w:line="240" w:lineRule="auto"/>
        <w:jc w:val="both"/>
        <w:rPr>
          <w:sz w:val="24"/>
          <w:szCs w:val="24"/>
        </w:rPr>
      </w:pPr>
      <w:r>
        <w:rPr>
          <w:sz w:val="24"/>
          <w:szCs w:val="24"/>
        </w:rPr>
        <w:t xml:space="preserve">Des taxes perçues </w:t>
      </w:r>
      <w:r w:rsidR="00F6748C">
        <w:rPr>
          <w:sz w:val="24"/>
          <w:szCs w:val="24"/>
        </w:rPr>
        <w:t>lors des constructions d’habitation</w:t>
      </w:r>
      <w:r>
        <w:rPr>
          <w:sz w:val="24"/>
          <w:szCs w:val="24"/>
        </w:rPr>
        <w:t xml:space="preserve"> (taxe d’aménagement),</w:t>
      </w:r>
    </w:p>
    <w:p w:rsidR="00A05504" w:rsidRDefault="00A05504" w:rsidP="00A05504">
      <w:pPr>
        <w:pStyle w:val="Paragraphedeliste"/>
        <w:numPr>
          <w:ilvl w:val="0"/>
          <w:numId w:val="1"/>
        </w:numPr>
        <w:spacing w:after="120" w:line="240" w:lineRule="auto"/>
        <w:jc w:val="both"/>
        <w:rPr>
          <w:sz w:val="24"/>
          <w:szCs w:val="24"/>
        </w:rPr>
      </w:pPr>
      <w:r>
        <w:rPr>
          <w:sz w:val="24"/>
          <w:szCs w:val="24"/>
        </w:rPr>
        <w:t>De la récupération de la TVA (sur les immobilisations de l’année N-2),</w:t>
      </w:r>
    </w:p>
    <w:p w:rsidR="00A05504" w:rsidRDefault="00A05504" w:rsidP="00A05504">
      <w:pPr>
        <w:pStyle w:val="Paragraphedeliste"/>
        <w:numPr>
          <w:ilvl w:val="0"/>
          <w:numId w:val="1"/>
        </w:numPr>
        <w:spacing w:after="120" w:line="240" w:lineRule="auto"/>
        <w:jc w:val="both"/>
        <w:rPr>
          <w:sz w:val="24"/>
          <w:szCs w:val="24"/>
        </w:rPr>
      </w:pPr>
      <w:r>
        <w:rPr>
          <w:sz w:val="24"/>
          <w:szCs w:val="24"/>
        </w:rPr>
        <w:t>Des subventions allouées par les partenaires (Etat, Département, Région),</w:t>
      </w:r>
    </w:p>
    <w:p w:rsidR="005B5BB2" w:rsidRPr="005B5BB2" w:rsidRDefault="00A05504" w:rsidP="005B5BB2">
      <w:pPr>
        <w:pStyle w:val="Paragraphedeliste"/>
        <w:numPr>
          <w:ilvl w:val="0"/>
          <w:numId w:val="1"/>
        </w:numPr>
        <w:spacing w:after="120" w:line="240" w:lineRule="auto"/>
        <w:jc w:val="both"/>
        <w:rPr>
          <w:sz w:val="24"/>
          <w:szCs w:val="24"/>
        </w:rPr>
      </w:pPr>
      <w:r>
        <w:rPr>
          <w:sz w:val="24"/>
          <w:szCs w:val="24"/>
        </w:rPr>
        <w:t>Des emprunts et de la som</w:t>
      </w:r>
      <w:r w:rsidR="009F020D">
        <w:rPr>
          <w:sz w:val="24"/>
          <w:szCs w:val="24"/>
        </w:rPr>
        <w:t xml:space="preserve">me </w:t>
      </w:r>
      <w:r>
        <w:rPr>
          <w:sz w:val="24"/>
          <w:szCs w:val="24"/>
        </w:rPr>
        <w:t xml:space="preserve">récupérée en section de fonctionnement </w:t>
      </w:r>
      <w:r w:rsidR="00F6748C">
        <w:rPr>
          <w:sz w:val="24"/>
          <w:szCs w:val="24"/>
        </w:rPr>
        <w:t>ainsi que</w:t>
      </w:r>
      <w:r>
        <w:rPr>
          <w:sz w:val="24"/>
          <w:szCs w:val="24"/>
        </w:rPr>
        <w:t xml:space="preserve"> l’excédent reporté de l’année antérieure.</w:t>
      </w:r>
    </w:p>
    <w:p w:rsidR="00210BC5" w:rsidRDefault="00A05504" w:rsidP="00A05504">
      <w:pPr>
        <w:spacing w:after="120" w:line="240" w:lineRule="auto"/>
        <w:jc w:val="both"/>
        <w:rPr>
          <w:sz w:val="24"/>
          <w:szCs w:val="24"/>
        </w:rPr>
      </w:pPr>
      <w:r>
        <w:rPr>
          <w:sz w:val="24"/>
          <w:szCs w:val="24"/>
        </w:rPr>
        <w:t>Voici les principales dépenses et recettes de la section d’investissement</w:t>
      </w:r>
      <w:r w:rsidR="00012568">
        <w:rPr>
          <w:sz w:val="24"/>
          <w:szCs w:val="24"/>
        </w:rPr>
        <w:t xml:space="preserve"> pour l’année 2019 :</w:t>
      </w:r>
    </w:p>
    <w:tbl>
      <w:tblPr>
        <w:tblStyle w:val="Grilledutableau"/>
        <w:tblW w:w="10348" w:type="dxa"/>
        <w:tblInd w:w="-714" w:type="dxa"/>
        <w:tblLook w:val="04A0" w:firstRow="1" w:lastRow="0" w:firstColumn="1" w:lastColumn="0" w:noHBand="0" w:noVBand="1"/>
      </w:tblPr>
      <w:tblGrid>
        <w:gridCol w:w="3686"/>
        <w:gridCol w:w="1559"/>
        <w:gridCol w:w="3544"/>
        <w:gridCol w:w="1559"/>
      </w:tblGrid>
      <w:tr w:rsidR="00A05504" w:rsidTr="00476399">
        <w:tc>
          <w:tcPr>
            <w:tcW w:w="5245" w:type="dxa"/>
            <w:gridSpan w:val="2"/>
          </w:tcPr>
          <w:p w:rsidR="00A05504" w:rsidRDefault="00A05504" w:rsidP="002576AD">
            <w:pPr>
              <w:spacing w:after="120"/>
              <w:jc w:val="center"/>
              <w:rPr>
                <w:sz w:val="24"/>
                <w:szCs w:val="24"/>
              </w:rPr>
            </w:pPr>
            <w:r>
              <w:rPr>
                <w:sz w:val="24"/>
                <w:szCs w:val="24"/>
              </w:rPr>
              <w:t>DEPENSES</w:t>
            </w:r>
          </w:p>
        </w:tc>
        <w:tc>
          <w:tcPr>
            <w:tcW w:w="5103" w:type="dxa"/>
            <w:gridSpan w:val="2"/>
          </w:tcPr>
          <w:p w:rsidR="00A05504" w:rsidRDefault="00A05504" w:rsidP="002576AD">
            <w:pPr>
              <w:spacing w:after="120"/>
              <w:jc w:val="center"/>
              <w:rPr>
                <w:sz w:val="24"/>
                <w:szCs w:val="24"/>
              </w:rPr>
            </w:pPr>
            <w:r>
              <w:rPr>
                <w:sz w:val="24"/>
                <w:szCs w:val="24"/>
              </w:rPr>
              <w:t>RECETTES</w:t>
            </w:r>
          </w:p>
        </w:tc>
      </w:tr>
      <w:tr w:rsidR="00A05504" w:rsidTr="00476399">
        <w:tc>
          <w:tcPr>
            <w:tcW w:w="3686" w:type="dxa"/>
          </w:tcPr>
          <w:p w:rsidR="00A05504" w:rsidRPr="004074FE" w:rsidRDefault="0024351C" w:rsidP="002576AD">
            <w:pPr>
              <w:spacing w:after="120"/>
              <w:jc w:val="both"/>
            </w:pPr>
            <w:r>
              <w:t>Remboursement capital emprunts</w:t>
            </w:r>
          </w:p>
        </w:tc>
        <w:tc>
          <w:tcPr>
            <w:tcW w:w="1559" w:type="dxa"/>
          </w:tcPr>
          <w:p w:rsidR="00A05504" w:rsidRPr="004074FE" w:rsidRDefault="00EE417D" w:rsidP="00EE417D">
            <w:pPr>
              <w:spacing w:after="120"/>
              <w:jc w:val="right"/>
            </w:pPr>
            <w:r>
              <w:t>162 520</w:t>
            </w:r>
            <w:r w:rsidR="00A47CD2">
              <w:t xml:space="preserve"> €</w:t>
            </w:r>
          </w:p>
        </w:tc>
        <w:tc>
          <w:tcPr>
            <w:tcW w:w="3544" w:type="dxa"/>
          </w:tcPr>
          <w:p w:rsidR="00A05504" w:rsidRPr="004074FE" w:rsidRDefault="00476399" w:rsidP="002576AD">
            <w:pPr>
              <w:spacing w:after="120"/>
              <w:jc w:val="both"/>
            </w:pPr>
            <w:r>
              <w:t>Excédent reporté</w:t>
            </w:r>
          </w:p>
        </w:tc>
        <w:tc>
          <w:tcPr>
            <w:tcW w:w="1559" w:type="dxa"/>
          </w:tcPr>
          <w:p w:rsidR="00A05504" w:rsidRPr="004074FE" w:rsidRDefault="00EE417D" w:rsidP="00EE417D">
            <w:pPr>
              <w:spacing w:after="120"/>
              <w:jc w:val="right"/>
            </w:pPr>
            <w:r>
              <w:t>165 217.10</w:t>
            </w:r>
            <w:r w:rsidR="005B5BB2">
              <w:t xml:space="preserve"> €</w:t>
            </w:r>
          </w:p>
        </w:tc>
      </w:tr>
      <w:tr w:rsidR="00A05504" w:rsidTr="00476399">
        <w:tc>
          <w:tcPr>
            <w:tcW w:w="3686" w:type="dxa"/>
          </w:tcPr>
          <w:p w:rsidR="00A05504" w:rsidRPr="004074FE" w:rsidRDefault="00A05504" w:rsidP="002576AD">
            <w:pPr>
              <w:spacing w:after="120"/>
              <w:jc w:val="both"/>
            </w:pPr>
            <w:r>
              <w:t>Etudes</w:t>
            </w:r>
            <w:r w:rsidR="00EE417D">
              <w:t xml:space="preserve"> et PLU</w:t>
            </w:r>
          </w:p>
        </w:tc>
        <w:tc>
          <w:tcPr>
            <w:tcW w:w="1559" w:type="dxa"/>
          </w:tcPr>
          <w:p w:rsidR="00A05504" w:rsidRPr="004074FE" w:rsidRDefault="00EE417D" w:rsidP="00EE417D">
            <w:pPr>
              <w:spacing w:after="120"/>
              <w:jc w:val="right"/>
            </w:pPr>
            <w:r>
              <w:t>32</w:t>
            </w:r>
            <w:r w:rsidR="00A47CD2">
              <w:t> </w:t>
            </w:r>
            <w:r>
              <w:t>220</w:t>
            </w:r>
            <w:r w:rsidR="00A47CD2">
              <w:t xml:space="preserve"> €</w:t>
            </w:r>
          </w:p>
        </w:tc>
        <w:tc>
          <w:tcPr>
            <w:tcW w:w="3544" w:type="dxa"/>
          </w:tcPr>
          <w:p w:rsidR="00A05504" w:rsidRPr="004074FE" w:rsidRDefault="00476399" w:rsidP="002576AD">
            <w:pPr>
              <w:spacing w:after="120"/>
              <w:jc w:val="both"/>
            </w:pPr>
            <w:r>
              <w:t>Virement section de fonctionnement</w:t>
            </w:r>
          </w:p>
        </w:tc>
        <w:tc>
          <w:tcPr>
            <w:tcW w:w="1559" w:type="dxa"/>
          </w:tcPr>
          <w:p w:rsidR="00A05504" w:rsidRPr="004074FE" w:rsidRDefault="005B5BB2" w:rsidP="00EE417D">
            <w:pPr>
              <w:spacing w:after="120"/>
              <w:jc w:val="right"/>
            </w:pPr>
            <w:r>
              <w:t>8</w:t>
            </w:r>
            <w:r w:rsidR="00EE417D">
              <w:t> 261.13</w:t>
            </w:r>
            <w:r>
              <w:t xml:space="preserve"> €</w:t>
            </w:r>
          </w:p>
        </w:tc>
      </w:tr>
      <w:tr w:rsidR="00A05504" w:rsidTr="00476399">
        <w:tc>
          <w:tcPr>
            <w:tcW w:w="3686" w:type="dxa"/>
          </w:tcPr>
          <w:p w:rsidR="00A05504" w:rsidRPr="004074FE" w:rsidRDefault="00A05504" w:rsidP="002576AD">
            <w:pPr>
              <w:spacing w:after="120"/>
              <w:jc w:val="both"/>
            </w:pPr>
            <w:r>
              <w:t>Travaux bâtiments</w:t>
            </w:r>
          </w:p>
        </w:tc>
        <w:tc>
          <w:tcPr>
            <w:tcW w:w="1559" w:type="dxa"/>
          </w:tcPr>
          <w:p w:rsidR="00A05504" w:rsidRPr="004074FE" w:rsidRDefault="00EE417D" w:rsidP="00EE417D">
            <w:pPr>
              <w:spacing w:after="120"/>
              <w:jc w:val="right"/>
            </w:pPr>
            <w:r>
              <w:t>25</w:t>
            </w:r>
            <w:r w:rsidR="00A47CD2">
              <w:t> </w:t>
            </w:r>
            <w:r>
              <w:t>500</w:t>
            </w:r>
            <w:r w:rsidR="00A47CD2">
              <w:t xml:space="preserve"> €</w:t>
            </w:r>
          </w:p>
        </w:tc>
        <w:tc>
          <w:tcPr>
            <w:tcW w:w="3544" w:type="dxa"/>
          </w:tcPr>
          <w:p w:rsidR="00A05504" w:rsidRPr="004074FE" w:rsidRDefault="00476399" w:rsidP="002576AD">
            <w:pPr>
              <w:spacing w:after="120"/>
              <w:jc w:val="both"/>
            </w:pPr>
            <w:r>
              <w:t>FCTVA</w:t>
            </w:r>
          </w:p>
        </w:tc>
        <w:tc>
          <w:tcPr>
            <w:tcW w:w="1559" w:type="dxa"/>
          </w:tcPr>
          <w:p w:rsidR="00A05504" w:rsidRPr="004074FE" w:rsidRDefault="00EE417D" w:rsidP="00EE417D">
            <w:pPr>
              <w:spacing w:after="120"/>
              <w:jc w:val="right"/>
            </w:pPr>
            <w:r>
              <w:t>19</w:t>
            </w:r>
            <w:r w:rsidR="005B5BB2">
              <w:t> </w:t>
            </w:r>
            <w:r>
              <w:t>106</w:t>
            </w:r>
            <w:r w:rsidR="005B5BB2">
              <w:t xml:space="preserve"> €</w:t>
            </w:r>
          </w:p>
        </w:tc>
      </w:tr>
      <w:tr w:rsidR="00A05504" w:rsidTr="00476399">
        <w:tc>
          <w:tcPr>
            <w:tcW w:w="3686" w:type="dxa"/>
          </w:tcPr>
          <w:p w:rsidR="00A05504" w:rsidRPr="004074FE" w:rsidRDefault="00A05504" w:rsidP="002576AD">
            <w:pPr>
              <w:spacing w:after="120"/>
              <w:jc w:val="both"/>
            </w:pPr>
            <w:r>
              <w:t>Travaux voirie</w:t>
            </w:r>
          </w:p>
        </w:tc>
        <w:tc>
          <w:tcPr>
            <w:tcW w:w="1559" w:type="dxa"/>
          </w:tcPr>
          <w:p w:rsidR="00A05504" w:rsidRPr="004074FE" w:rsidRDefault="00EE417D" w:rsidP="00EE417D">
            <w:pPr>
              <w:spacing w:after="120"/>
              <w:jc w:val="right"/>
            </w:pPr>
            <w:r>
              <w:t>183 053.23</w:t>
            </w:r>
            <w:r w:rsidR="00A47CD2">
              <w:t xml:space="preserve"> €</w:t>
            </w:r>
          </w:p>
        </w:tc>
        <w:tc>
          <w:tcPr>
            <w:tcW w:w="3544" w:type="dxa"/>
          </w:tcPr>
          <w:p w:rsidR="00A05504" w:rsidRPr="004074FE" w:rsidRDefault="00476399" w:rsidP="002576AD">
            <w:pPr>
              <w:spacing w:after="120"/>
              <w:jc w:val="both"/>
            </w:pPr>
            <w:r>
              <w:t>Taxe d’aménagement</w:t>
            </w:r>
          </w:p>
        </w:tc>
        <w:tc>
          <w:tcPr>
            <w:tcW w:w="1559" w:type="dxa"/>
          </w:tcPr>
          <w:p w:rsidR="00A05504" w:rsidRPr="004074FE" w:rsidRDefault="00EE417D" w:rsidP="00EE417D">
            <w:pPr>
              <w:spacing w:after="120"/>
              <w:jc w:val="right"/>
            </w:pPr>
            <w:r>
              <w:t>30</w:t>
            </w:r>
            <w:r w:rsidR="005B5BB2">
              <w:t> 000 €</w:t>
            </w:r>
          </w:p>
        </w:tc>
      </w:tr>
      <w:tr w:rsidR="00A05504" w:rsidTr="00476399">
        <w:tc>
          <w:tcPr>
            <w:tcW w:w="3686" w:type="dxa"/>
          </w:tcPr>
          <w:p w:rsidR="00A05504" w:rsidRPr="004074FE" w:rsidRDefault="00A05504" w:rsidP="002576AD">
            <w:pPr>
              <w:spacing w:after="120"/>
              <w:jc w:val="both"/>
            </w:pPr>
            <w:r>
              <w:t>Réseaux</w:t>
            </w:r>
          </w:p>
        </w:tc>
        <w:tc>
          <w:tcPr>
            <w:tcW w:w="1559" w:type="dxa"/>
          </w:tcPr>
          <w:p w:rsidR="00A05504" w:rsidRPr="004074FE" w:rsidRDefault="00EE417D" w:rsidP="00EE417D">
            <w:pPr>
              <w:spacing w:after="120"/>
              <w:jc w:val="right"/>
            </w:pPr>
            <w:r>
              <w:t>6 000</w:t>
            </w:r>
            <w:r w:rsidR="00A47CD2">
              <w:t xml:space="preserve"> €</w:t>
            </w:r>
          </w:p>
        </w:tc>
        <w:tc>
          <w:tcPr>
            <w:tcW w:w="3544" w:type="dxa"/>
          </w:tcPr>
          <w:p w:rsidR="00A05504" w:rsidRPr="004074FE" w:rsidRDefault="00476399" w:rsidP="002576AD">
            <w:pPr>
              <w:spacing w:after="120"/>
              <w:jc w:val="both"/>
            </w:pPr>
            <w:r>
              <w:t>Subventions</w:t>
            </w:r>
          </w:p>
        </w:tc>
        <w:tc>
          <w:tcPr>
            <w:tcW w:w="1559" w:type="dxa"/>
          </w:tcPr>
          <w:p w:rsidR="00A05504" w:rsidRPr="004074FE" w:rsidRDefault="00EE417D" w:rsidP="00EE417D">
            <w:pPr>
              <w:spacing w:after="120"/>
              <w:jc w:val="right"/>
            </w:pPr>
            <w:r>
              <w:t>125</w:t>
            </w:r>
            <w:r w:rsidR="005B5BB2">
              <w:t> </w:t>
            </w:r>
            <w:r>
              <w:t>000</w:t>
            </w:r>
            <w:r w:rsidR="005B5BB2">
              <w:t xml:space="preserve"> €</w:t>
            </w:r>
          </w:p>
        </w:tc>
      </w:tr>
      <w:tr w:rsidR="00A05504" w:rsidTr="00476399">
        <w:tc>
          <w:tcPr>
            <w:tcW w:w="3686" w:type="dxa"/>
          </w:tcPr>
          <w:p w:rsidR="00A05504" w:rsidRPr="004074FE" w:rsidRDefault="00A05504" w:rsidP="002576AD">
            <w:pPr>
              <w:spacing w:after="120"/>
              <w:jc w:val="both"/>
            </w:pPr>
            <w:r>
              <w:t>Matériel et mobilier</w:t>
            </w:r>
          </w:p>
        </w:tc>
        <w:tc>
          <w:tcPr>
            <w:tcW w:w="1559" w:type="dxa"/>
          </w:tcPr>
          <w:p w:rsidR="00A05504" w:rsidRPr="004074FE" w:rsidRDefault="00EE417D" w:rsidP="00EE417D">
            <w:pPr>
              <w:spacing w:after="120"/>
              <w:jc w:val="right"/>
            </w:pPr>
            <w:r>
              <w:t>33</w:t>
            </w:r>
            <w:r w:rsidR="00A47CD2">
              <w:t> </w:t>
            </w:r>
            <w:r>
              <w:t>8</w:t>
            </w:r>
            <w:r w:rsidR="00A47CD2">
              <w:t>00 €</w:t>
            </w:r>
          </w:p>
        </w:tc>
        <w:tc>
          <w:tcPr>
            <w:tcW w:w="3544" w:type="dxa"/>
          </w:tcPr>
          <w:p w:rsidR="00A05504" w:rsidRPr="004074FE" w:rsidRDefault="00476399" w:rsidP="002576AD">
            <w:pPr>
              <w:spacing w:after="120"/>
              <w:jc w:val="both"/>
            </w:pPr>
            <w:r>
              <w:t>Ecritures d’ordre</w:t>
            </w:r>
          </w:p>
        </w:tc>
        <w:tc>
          <w:tcPr>
            <w:tcW w:w="1559" w:type="dxa"/>
          </w:tcPr>
          <w:p w:rsidR="00A05504" w:rsidRPr="004074FE" w:rsidRDefault="005B5BB2" w:rsidP="00EE417D">
            <w:pPr>
              <w:spacing w:after="120"/>
              <w:jc w:val="right"/>
            </w:pPr>
            <w:r>
              <w:t>6 </w:t>
            </w:r>
            <w:r w:rsidR="00EE417D">
              <w:t>986</w:t>
            </w:r>
            <w:r>
              <w:t xml:space="preserve"> €</w:t>
            </w:r>
          </w:p>
        </w:tc>
      </w:tr>
      <w:tr w:rsidR="00A05504" w:rsidTr="00476399">
        <w:tc>
          <w:tcPr>
            <w:tcW w:w="3686" w:type="dxa"/>
          </w:tcPr>
          <w:p w:rsidR="00A05504" w:rsidRPr="004074FE" w:rsidRDefault="00A05504" w:rsidP="002576AD">
            <w:pPr>
              <w:spacing w:after="120"/>
              <w:jc w:val="both"/>
            </w:pPr>
            <w:r>
              <w:t>Ecritures d’o</w:t>
            </w:r>
            <w:r w:rsidR="00283A4B">
              <w:t>r</w:t>
            </w:r>
            <w:r>
              <w:t>dre</w:t>
            </w:r>
          </w:p>
        </w:tc>
        <w:tc>
          <w:tcPr>
            <w:tcW w:w="1559" w:type="dxa"/>
          </w:tcPr>
          <w:p w:rsidR="00A05504" w:rsidRPr="004074FE" w:rsidRDefault="00A47CD2" w:rsidP="005B5BB2">
            <w:pPr>
              <w:spacing w:after="120"/>
              <w:jc w:val="right"/>
            </w:pPr>
            <w:r>
              <w:t>1 200 €</w:t>
            </w:r>
          </w:p>
        </w:tc>
        <w:tc>
          <w:tcPr>
            <w:tcW w:w="3544" w:type="dxa"/>
          </w:tcPr>
          <w:p w:rsidR="00A05504" w:rsidRPr="004074FE" w:rsidRDefault="005B5BB2" w:rsidP="002576AD">
            <w:pPr>
              <w:spacing w:after="120"/>
              <w:jc w:val="both"/>
            </w:pPr>
            <w:r>
              <w:t>Réserves</w:t>
            </w:r>
          </w:p>
        </w:tc>
        <w:tc>
          <w:tcPr>
            <w:tcW w:w="1559" w:type="dxa"/>
          </w:tcPr>
          <w:p w:rsidR="00A05504" w:rsidRPr="004074FE" w:rsidRDefault="00EE417D" w:rsidP="00EE417D">
            <w:pPr>
              <w:spacing w:after="120"/>
              <w:jc w:val="right"/>
            </w:pPr>
            <w:r>
              <w:t>89 723</w:t>
            </w:r>
            <w:r w:rsidR="005B5BB2">
              <w:t xml:space="preserve"> €</w:t>
            </w:r>
          </w:p>
        </w:tc>
      </w:tr>
      <w:tr w:rsidR="005B5BB2" w:rsidTr="00476399">
        <w:tc>
          <w:tcPr>
            <w:tcW w:w="3686" w:type="dxa"/>
          </w:tcPr>
          <w:p w:rsidR="005B5BB2" w:rsidRDefault="005B5BB2" w:rsidP="002576AD">
            <w:pPr>
              <w:spacing w:after="120"/>
              <w:jc w:val="both"/>
            </w:pPr>
          </w:p>
        </w:tc>
        <w:tc>
          <w:tcPr>
            <w:tcW w:w="1559" w:type="dxa"/>
          </w:tcPr>
          <w:p w:rsidR="005B5BB2" w:rsidRDefault="005B5BB2" w:rsidP="005B5BB2">
            <w:pPr>
              <w:spacing w:after="120"/>
              <w:jc w:val="right"/>
            </w:pPr>
          </w:p>
        </w:tc>
        <w:tc>
          <w:tcPr>
            <w:tcW w:w="3544" w:type="dxa"/>
          </w:tcPr>
          <w:p w:rsidR="005B5BB2" w:rsidRDefault="005B5BB2" w:rsidP="002576AD">
            <w:pPr>
              <w:spacing w:after="120"/>
              <w:jc w:val="both"/>
            </w:pPr>
          </w:p>
        </w:tc>
        <w:tc>
          <w:tcPr>
            <w:tcW w:w="1559" w:type="dxa"/>
          </w:tcPr>
          <w:p w:rsidR="005B5BB2" w:rsidRDefault="005B5BB2" w:rsidP="005B5BB2">
            <w:pPr>
              <w:spacing w:after="120"/>
              <w:jc w:val="right"/>
            </w:pPr>
          </w:p>
        </w:tc>
      </w:tr>
      <w:tr w:rsidR="00476399" w:rsidRPr="005B5BB2" w:rsidTr="00476399">
        <w:tc>
          <w:tcPr>
            <w:tcW w:w="3686" w:type="dxa"/>
          </w:tcPr>
          <w:p w:rsidR="00476399" w:rsidRPr="005B5BB2" w:rsidRDefault="00A47CD2" w:rsidP="002576AD">
            <w:pPr>
              <w:spacing w:after="120"/>
              <w:jc w:val="both"/>
              <w:rPr>
                <w:b/>
              </w:rPr>
            </w:pPr>
            <w:r w:rsidRPr="005B5BB2">
              <w:rPr>
                <w:b/>
              </w:rPr>
              <w:t>TOTAL</w:t>
            </w:r>
          </w:p>
        </w:tc>
        <w:tc>
          <w:tcPr>
            <w:tcW w:w="1559" w:type="dxa"/>
          </w:tcPr>
          <w:p w:rsidR="00476399" w:rsidRPr="005B5BB2" w:rsidRDefault="00A47CD2" w:rsidP="00EE417D">
            <w:pPr>
              <w:spacing w:after="120"/>
              <w:jc w:val="right"/>
              <w:rPr>
                <w:b/>
              </w:rPr>
            </w:pPr>
            <w:r w:rsidRPr="005B5BB2">
              <w:rPr>
                <w:b/>
              </w:rPr>
              <w:t> </w:t>
            </w:r>
            <w:r w:rsidR="00EE417D">
              <w:rPr>
                <w:b/>
              </w:rPr>
              <w:t>444 293.23</w:t>
            </w:r>
            <w:r w:rsidRPr="005B5BB2">
              <w:rPr>
                <w:b/>
              </w:rPr>
              <w:t xml:space="preserve"> €</w:t>
            </w:r>
          </w:p>
        </w:tc>
        <w:tc>
          <w:tcPr>
            <w:tcW w:w="3544" w:type="dxa"/>
          </w:tcPr>
          <w:p w:rsidR="00476399" w:rsidRPr="005B5BB2" w:rsidRDefault="005B5BB2" w:rsidP="002576AD">
            <w:pPr>
              <w:spacing w:after="120"/>
              <w:jc w:val="both"/>
              <w:rPr>
                <w:b/>
              </w:rPr>
            </w:pPr>
            <w:r w:rsidRPr="005B5BB2">
              <w:rPr>
                <w:b/>
              </w:rPr>
              <w:t>TOTAL</w:t>
            </w:r>
          </w:p>
        </w:tc>
        <w:tc>
          <w:tcPr>
            <w:tcW w:w="1559" w:type="dxa"/>
          </w:tcPr>
          <w:p w:rsidR="00476399" w:rsidRPr="005B5BB2" w:rsidRDefault="005B5BB2" w:rsidP="00EE417D">
            <w:pPr>
              <w:spacing w:after="120"/>
              <w:jc w:val="right"/>
              <w:rPr>
                <w:b/>
              </w:rPr>
            </w:pPr>
            <w:r w:rsidRPr="005B5BB2">
              <w:rPr>
                <w:b/>
              </w:rPr>
              <w:t> </w:t>
            </w:r>
            <w:r w:rsidR="00EE417D">
              <w:rPr>
                <w:b/>
              </w:rPr>
              <w:t>444 293.23</w:t>
            </w:r>
            <w:r w:rsidRPr="005B5BB2">
              <w:rPr>
                <w:b/>
              </w:rPr>
              <w:t xml:space="preserve"> €</w:t>
            </w:r>
          </w:p>
        </w:tc>
      </w:tr>
    </w:tbl>
    <w:p w:rsidR="00210BC5" w:rsidRDefault="00210BC5" w:rsidP="00A05504">
      <w:pPr>
        <w:spacing w:after="120" w:line="240" w:lineRule="auto"/>
        <w:jc w:val="both"/>
        <w:rPr>
          <w:sz w:val="24"/>
          <w:szCs w:val="24"/>
        </w:rPr>
      </w:pPr>
    </w:p>
    <w:p w:rsidR="00210BC5" w:rsidRPr="00A05504" w:rsidRDefault="00EE417D" w:rsidP="00A05504">
      <w:pPr>
        <w:spacing w:after="120" w:line="240" w:lineRule="auto"/>
        <w:jc w:val="both"/>
        <w:rPr>
          <w:sz w:val="24"/>
          <w:szCs w:val="24"/>
        </w:rPr>
      </w:pPr>
      <w:r>
        <w:rPr>
          <w:sz w:val="24"/>
          <w:szCs w:val="24"/>
        </w:rPr>
        <w:t>Cette année, l’essentiel des travaux sera réalisé sur la voirie communale (l’aménagement du trottoir de la RD 422 a déjà été réalisé en début d’année, reste à poser la barrière dans le virage du lotissement des Jardins de Vincent</w:t>
      </w:r>
      <w:r w:rsidR="002C51F9">
        <w:rPr>
          <w:sz w:val="24"/>
          <w:szCs w:val="24"/>
        </w:rPr>
        <w:t>)</w:t>
      </w:r>
      <w:r>
        <w:rPr>
          <w:sz w:val="24"/>
          <w:szCs w:val="24"/>
        </w:rPr>
        <w:t>.</w:t>
      </w:r>
      <w:r w:rsidR="0024351C">
        <w:rPr>
          <w:sz w:val="24"/>
          <w:szCs w:val="24"/>
        </w:rPr>
        <w:t xml:space="preserve"> </w:t>
      </w:r>
    </w:p>
    <w:p w:rsidR="004074FE" w:rsidRDefault="0024351C" w:rsidP="002F2DB8">
      <w:pPr>
        <w:spacing w:after="120" w:line="240" w:lineRule="auto"/>
        <w:jc w:val="both"/>
        <w:rPr>
          <w:sz w:val="24"/>
          <w:szCs w:val="24"/>
        </w:rPr>
      </w:pPr>
      <w:r>
        <w:rPr>
          <w:sz w:val="24"/>
          <w:szCs w:val="24"/>
        </w:rPr>
        <w:t>A ce budget principal vient s’ajouter un budget annexe pour le service assainissement</w:t>
      </w:r>
      <w:r w:rsidR="00F6748C">
        <w:rPr>
          <w:sz w:val="24"/>
          <w:szCs w:val="24"/>
        </w:rPr>
        <w:t>.</w:t>
      </w:r>
      <w:r>
        <w:rPr>
          <w:sz w:val="24"/>
          <w:szCs w:val="24"/>
        </w:rPr>
        <w:t xml:space="preserve"> </w:t>
      </w:r>
      <w:r w:rsidR="00F6748C">
        <w:rPr>
          <w:sz w:val="24"/>
          <w:szCs w:val="24"/>
        </w:rPr>
        <w:t>I</w:t>
      </w:r>
      <w:r>
        <w:rPr>
          <w:sz w:val="24"/>
          <w:szCs w:val="24"/>
        </w:rPr>
        <w:t xml:space="preserve">l reprend les principales dépenses et recettes relatives au fonctionnement de la station d’épuration. La différence avec le budget principal c’est que ce budget est voté en HT, la TVA étant récupérée dans l’année et qu’on parle de dépenses d’exploitation </w:t>
      </w:r>
      <w:r w:rsidR="00F6748C">
        <w:rPr>
          <w:sz w:val="24"/>
          <w:szCs w:val="24"/>
        </w:rPr>
        <w:t>au</w:t>
      </w:r>
      <w:r>
        <w:rPr>
          <w:sz w:val="24"/>
          <w:szCs w:val="24"/>
        </w:rPr>
        <w:t xml:space="preserve"> lieu de dépenses de fonctionnement.</w:t>
      </w:r>
    </w:p>
    <w:p w:rsidR="00DF67AE" w:rsidRPr="00DF67AE" w:rsidRDefault="00DF67AE" w:rsidP="002F2DB8">
      <w:pPr>
        <w:spacing w:after="120" w:line="240" w:lineRule="auto"/>
        <w:jc w:val="both"/>
        <w:rPr>
          <w:b/>
          <w:sz w:val="24"/>
          <w:szCs w:val="24"/>
          <w:u w:val="single"/>
        </w:rPr>
      </w:pPr>
      <w:r w:rsidRPr="00DF67AE">
        <w:rPr>
          <w:b/>
          <w:sz w:val="24"/>
          <w:szCs w:val="24"/>
          <w:u w:val="single"/>
        </w:rPr>
        <w:t xml:space="preserve">Exploitation : </w:t>
      </w:r>
    </w:p>
    <w:tbl>
      <w:tblPr>
        <w:tblStyle w:val="Grilledutableau"/>
        <w:tblW w:w="10348" w:type="dxa"/>
        <w:tblInd w:w="-714" w:type="dxa"/>
        <w:tblLook w:val="04A0" w:firstRow="1" w:lastRow="0" w:firstColumn="1" w:lastColumn="0" w:noHBand="0" w:noVBand="1"/>
      </w:tblPr>
      <w:tblGrid>
        <w:gridCol w:w="3686"/>
        <w:gridCol w:w="1559"/>
        <w:gridCol w:w="3544"/>
        <w:gridCol w:w="1559"/>
      </w:tblGrid>
      <w:tr w:rsidR="00DF67AE" w:rsidTr="002576AD">
        <w:tc>
          <w:tcPr>
            <w:tcW w:w="5245" w:type="dxa"/>
            <w:gridSpan w:val="2"/>
          </w:tcPr>
          <w:p w:rsidR="00DF67AE" w:rsidRDefault="00DF67AE" w:rsidP="002576AD">
            <w:pPr>
              <w:spacing w:after="120"/>
              <w:jc w:val="center"/>
              <w:rPr>
                <w:sz w:val="24"/>
                <w:szCs w:val="24"/>
              </w:rPr>
            </w:pPr>
            <w:r>
              <w:rPr>
                <w:sz w:val="24"/>
                <w:szCs w:val="24"/>
              </w:rPr>
              <w:t>DEPENSES</w:t>
            </w:r>
          </w:p>
        </w:tc>
        <w:tc>
          <w:tcPr>
            <w:tcW w:w="5103" w:type="dxa"/>
            <w:gridSpan w:val="2"/>
          </w:tcPr>
          <w:p w:rsidR="00DF67AE" w:rsidRDefault="00DF67AE" w:rsidP="002576AD">
            <w:pPr>
              <w:spacing w:after="120"/>
              <w:jc w:val="center"/>
              <w:rPr>
                <w:sz w:val="24"/>
                <w:szCs w:val="24"/>
              </w:rPr>
            </w:pPr>
            <w:r>
              <w:rPr>
                <w:sz w:val="24"/>
                <w:szCs w:val="24"/>
              </w:rPr>
              <w:t>RECETTES</w:t>
            </w:r>
          </w:p>
        </w:tc>
      </w:tr>
      <w:tr w:rsidR="00DF67AE" w:rsidTr="002576AD">
        <w:tc>
          <w:tcPr>
            <w:tcW w:w="3686" w:type="dxa"/>
          </w:tcPr>
          <w:p w:rsidR="00DF67AE" w:rsidRPr="004074FE" w:rsidRDefault="00DF67AE" w:rsidP="002576AD">
            <w:pPr>
              <w:spacing w:after="120"/>
              <w:jc w:val="both"/>
            </w:pPr>
            <w:r>
              <w:t>Fournitures et petit équipement</w:t>
            </w:r>
          </w:p>
        </w:tc>
        <w:tc>
          <w:tcPr>
            <w:tcW w:w="1559" w:type="dxa"/>
          </w:tcPr>
          <w:p w:rsidR="00DF67AE" w:rsidRPr="004074FE" w:rsidRDefault="00EE417D" w:rsidP="00EE417D">
            <w:pPr>
              <w:spacing w:after="120"/>
              <w:jc w:val="right"/>
            </w:pPr>
            <w:r>
              <w:t>3</w:t>
            </w:r>
            <w:r w:rsidR="006832C3">
              <w:t> </w:t>
            </w:r>
            <w:r>
              <w:t>8</w:t>
            </w:r>
            <w:r w:rsidR="006832C3">
              <w:t>00 €</w:t>
            </w:r>
          </w:p>
        </w:tc>
        <w:tc>
          <w:tcPr>
            <w:tcW w:w="3544" w:type="dxa"/>
          </w:tcPr>
          <w:p w:rsidR="00DF67AE" w:rsidRPr="004074FE" w:rsidRDefault="00DF67AE" w:rsidP="002576AD">
            <w:pPr>
              <w:spacing w:after="120"/>
              <w:jc w:val="both"/>
            </w:pPr>
            <w:r>
              <w:t xml:space="preserve">Branchement </w:t>
            </w:r>
          </w:p>
        </w:tc>
        <w:tc>
          <w:tcPr>
            <w:tcW w:w="1559" w:type="dxa"/>
          </w:tcPr>
          <w:p w:rsidR="00DF67AE" w:rsidRPr="004074FE" w:rsidRDefault="00EE417D" w:rsidP="00EE417D">
            <w:pPr>
              <w:spacing w:after="120"/>
              <w:jc w:val="both"/>
            </w:pPr>
            <w:r>
              <w:t>36</w:t>
            </w:r>
            <w:r w:rsidR="006832C3">
              <w:t> 000 €</w:t>
            </w:r>
          </w:p>
        </w:tc>
      </w:tr>
      <w:tr w:rsidR="00DF67AE" w:rsidTr="002576AD">
        <w:tc>
          <w:tcPr>
            <w:tcW w:w="3686" w:type="dxa"/>
          </w:tcPr>
          <w:p w:rsidR="00DF67AE" w:rsidRPr="004074FE" w:rsidRDefault="00DF67AE" w:rsidP="002576AD">
            <w:pPr>
              <w:spacing w:after="120"/>
              <w:jc w:val="both"/>
            </w:pPr>
            <w:r>
              <w:t>Entretien et réparations</w:t>
            </w:r>
          </w:p>
        </w:tc>
        <w:tc>
          <w:tcPr>
            <w:tcW w:w="1559" w:type="dxa"/>
          </w:tcPr>
          <w:p w:rsidR="00DF67AE" w:rsidRPr="004074FE" w:rsidRDefault="00EE417D" w:rsidP="00EE417D">
            <w:pPr>
              <w:spacing w:after="120"/>
              <w:jc w:val="right"/>
            </w:pPr>
            <w:r>
              <w:t>36</w:t>
            </w:r>
            <w:r w:rsidR="006832C3">
              <w:t> </w:t>
            </w:r>
            <w:r>
              <w:t>0</w:t>
            </w:r>
            <w:r w:rsidR="006832C3">
              <w:t>00 €</w:t>
            </w:r>
          </w:p>
        </w:tc>
        <w:tc>
          <w:tcPr>
            <w:tcW w:w="3544" w:type="dxa"/>
          </w:tcPr>
          <w:p w:rsidR="00DF67AE" w:rsidRPr="004074FE" w:rsidRDefault="00DF67AE" w:rsidP="002576AD">
            <w:pPr>
              <w:spacing w:after="120"/>
              <w:jc w:val="both"/>
            </w:pPr>
            <w:r>
              <w:t>Redevances assainissement</w:t>
            </w:r>
          </w:p>
        </w:tc>
        <w:tc>
          <w:tcPr>
            <w:tcW w:w="1559" w:type="dxa"/>
          </w:tcPr>
          <w:p w:rsidR="00DF67AE" w:rsidRPr="004074FE" w:rsidRDefault="006832C3" w:rsidP="00926927">
            <w:pPr>
              <w:spacing w:after="120"/>
              <w:jc w:val="both"/>
            </w:pPr>
            <w:r>
              <w:t>2</w:t>
            </w:r>
            <w:r w:rsidR="00926927">
              <w:t>6</w:t>
            </w:r>
            <w:r>
              <w:t> 000 €</w:t>
            </w:r>
          </w:p>
        </w:tc>
      </w:tr>
      <w:tr w:rsidR="00DF67AE" w:rsidTr="002576AD">
        <w:tc>
          <w:tcPr>
            <w:tcW w:w="3686" w:type="dxa"/>
          </w:tcPr>
          <w:p w:rsidR="00DF67AE" w:rsidRPr="004074FE" w:rsidRDefault="006832C3" w:rsidP="002576AD">
            <w:pPr>
              <w:spacing w:after="120"/>
              <w:jc w:val="both"/>
            </w:pPr>
            <w:r>
              <w:t>Autres charges</w:t>
            </w:r>
          </w:p>
        </w:tc>
        <w:tc>
          <w:tcPr>
            <w:tcW w:w="1559" w:type="dxa"/>
          </w:tcPr>
          <w:p w:rsidR="00DF67AE" w:rsidRPr="004074FE" w:rsidRDefault="00EE417D" w:rsidP="00EE417D">
            <w:pPr>
              <w:spacing w:after="120"/>
              <w:jc w:val="right"/>
            </w:pPr>
            <w:r>
              <w:t>7</w:t>
            </w:r>
            <w:r w:rsidR="006832C3">
              <w:t> 8</w:t>
            </w:r>
            <w:r>
              <w:t>8</w:t>
            </w:r>
            <w:r w:rsidR="006832C3">
              <w:t>0 €</w:t>
            </w:r>
          </w:p>
        </w:tc>
        <w:tc>
          <w:tcPr>
            <w:tcW w:w="3544" w:type="dxa"/>
          </w:tcPr>
          <w:p w:rsidR="00DF67AE" w:rsidRPr="004074FE" w:rsidRDefault="00DF67AE" w:rsidP="002576AD">
            <w:pPr>
              <w:spacing w:after="120"/>
              <w:jc w:val="both"/>
            </w:pPr>
            <w:r>
              <w:t>Produits divers</w:t>
            </w:r>
          </w:p>
        </w:tc>
        <w:tc>
          <w:tcPr>
            <w:tcW w:w="1559" w:type="dxa"/>
          </w:tcPr>
          <w:p w:rsidR="00DF67AE" w:rsidRPr="004074FE" w:rsidRDefault="00926927" w:rsidP="00926927">
            <w:pPr>
              <w:spacing w:after="120"/>
              <w:jc w:val="both"/>
            </w:pPr>
            <w:r>
              <w:t>3</w:t>
            </w:r>
            <w:r w:rsidR="006832C3">
              <w:t> </w:t>
            </w:r>
            <w:r>
              <w:t>0</w:t>
            </w:r>
            <w:r w:rsidR="006832C3">
              <w:t>00 €</w:t>
            </w:r>
          </w:p>
        </w:tc>
      </w:tr>
      <w:tr w:rsidR="006832C3" w:rsidTr="002576AD">
        <w:tc>
          <w:tcPr>
            <w:tcW w:w="3686" w:type="dxa"/>
          </w:tcPr>
          <w:p w:rsidR="006832C3" w:rsidRPr="004074FE" w:rsidRDefault="006832C3" w:rsidP="006832C3">
            <w:pPr>
              <w:spacing w:after="120"/>
              <w:jc w:val="both"/>
            </w:pPr>
            <w:r>
              <w:t>Assurance</w:t>
            </w:r>
          </w:p>
        </w:tc>
        <w:tc>
          <w:tcPr>
            <w:tcW w:w="1559" w:type="dxa"/>
          </w:tcPr>
          <w:p w:rsidR="006832C3" w:rsidRPr="004074FE" w:rsidRDefault="006832C3" w:rsidP="00EE417D">
            <w:pPr>
              <w:spacing w:after="120"/>
              <w:jc w:val="right"/>
            </w:pPr>
            <w:r>
              <w:t>1 </w:t>
            </w:r>
            <w:r w:rsidR="00EE417D">
              <w:t>200</w:t>
            </w:r>
            <w:r>
              <w:t xml:space="preserve"> €</w:t>
            </w:r>
          </w:p>
        </w:tc>
        <w:tc>
          <w:tcPr>
            <w:tcW w:w="3544" w:type="dxa"/>
          </w:tcPr>
          <w:p w:rsidR="006832C3" w:rsidRPr="004074FE" w:rsidRDefault="006832C3" w:rsidP="006832C3">
            <w:pPr>
              <w:spacing w:after="120"/>
              <w:jc w:val="both"/>
            </w:pPr>
            <w:r>
              <w:t>Excédent reporté</w:t>
            </w:r>
          </w:p>
        </w:tc>
        <w:tc>
          <w:tcPr>
            <w:tcW w:w="1559" w:type="dxa"/>
          </w:tcPr>
          <w:p w:rsidR="006832C3" w:rsidRPr="004074FE" w:rsidRDefault="006832C3" w:rsidP="006832C3">
            <w:pPr>
              <w:spacing w:after="120"/>
              <w:jc w:val="both"/>
            </w:pPr>
          </w:p>
        </w:tc>
      </w:tr>
      <w:tr w:rsidR="006832C3" w:rsidTr="002576AD">
        <w:tc>
          <w:tcPr>
            <w:tcW w:w="3686" w:type="dxa"/>
          </w:tcPr>
          <w:p w:rsidR="006832C3" w:rsidRPr="004074FE" w:rsidRDefault="006832C3" w:rsidP="006832C3">
            <w:pPr>
              <w:spacing w:after="120"/>
              <w:jc w:val="both"/>
            </w:pPr>
            <w:r>
              <w:t>Intérêts des prêts</w:t>
            </w:r>
          </w:p>
        </w:tc>
        <w:tc>
          <w:tcPr>
            <w:tcW w:w="1559" w:type="dxa"/>
          </w:tcPr>
          <w:p w:rsidR="006832C3" w:rsidRPr="004074FE" w:rsidRDefault="006832C3" w:rsidP="00EE417D">
            <w:pPr>
              <w:spacing w:after="120"/>
              <w:jc w:val="right"/>
            </w:pPr>
            <w:r>
              <w:t>2 </w:t>
            </w:r>
            <w:r w:rsidR="00EE417D">
              <w:t>180</w:t>
            </w:r>
            <w:r>
              <w:t xml:space="preserve"> €</w:t>
            </w:r>
          </w:p>
        </w:tc>
        <w:tc>
          <w:tcPr>
            <w:tcW w:w="3544" w:type="dxa"/>
          </w:tcPr>
          <w:p w:rsidR="006832C3" w:rsidRDefault="00BC6B31" w:rsidP="006832C3">
            <w:pPr>
              <w:spacing w:after="120"/>
              <w:jc w:val="both"/>
            </w:pPr>
            <w:r>
              <w:t>Ecritures d’ordre</w:t>
            </w:r>
          </w:p>
        </w:tc>
        <w:tc>
          <w:tcPr>
            <w:tcW w:w="1559" w:type="dxa"/>
          </w:tcPr>
          <w:p w:rsidR="006832C3" w:rsidRPr="004074FE" w:rsidRDefault="00BC6B31" w:rsidP="00926927">
            <w:pPr>
              <w:spacing w:after="120"/>
              <w:jc w:val="both"/>
            </w:pPr>
            <w:r>
              <w:t>1</w:t>
            </w:r>
            <w:r w:rsidR="00926927">
              <w:t>2 088.76</w:t>
            </w:r>
            <w:r>
              <w:t xml:space="preserve"> €</w:t>
            </w:r>
          </w:p>
        </w:tc>
      </w:tr>
      <w:tr w:rsidR="006832C3" w:rsidTr="002576AD">
        <w:tc>
          <w:tcPr>
            <w:tcW w:w="3686" w:type="dxa"/>
          </w:tcPr>
          <w:p w:rsidR="006832C3" w:rsidRDefault="006832C3" w:rsidP="006832C3">
            <w:pPr>
              <w:spacing w:after="120"/>
              <w:jc w:val="both"/>
            </w:pPr>
            <w:r>
              <w:t>Virement</w:t>
            </w:r>
          </w:p>
        </w:tc>
        <w:tc>
          <w:tcPr>
            <w:tcW w:w="1559" w:type="dxa"/>
          </w:tcPr>
          <w:p w:rsidR="006832C3" w:rsidRPr="004074FE" w:rsidRDefault="00EE417D" w:rsidP="00EE417D">
            <w:pPr>
              <w:spacing w:after="120"/>
              <w:jc w:val="right"/>
            </w:pPr>
            <w:r>
              <w:t>2 020.76</w:t>
            </w:r>
            <w:r w:rsidR="006832C3">
              <w:t xml:space="preserve"> €</w:t>
            </w:r>
          </w:p>
        </w:tc>
        <w:tc>
          <w:tcPr>
            <w:tcW w:w="3544" w:type="dxa"/>
          </w:tcPr>
          <w:p w:rsidR="006832C3" w:rsidRPr="004074FE" w:rsidRDefault="006832C3" w:rsidP="006832C3">
            <w:pPr>
              <w:spacing w:after="120"/>
              <w:jc w:val="both"/>
            </w:pPr>
          </w:p>
        </w:tc>
        <w:tc>
          <w:tcPr>
            <w:tcW w:w="1559" w:type="dxa"/>
          </w:tcPr>
          <w:p w:rsidR="006832C3" w:rsidRPr="004074FE" w:rsidRDefault="006832C3" w:rsidP="006832C3">
            <w:pPr>
              <w:spacing w:after="120"/>
              <w:jc w:val="both"/>
            </w:pPr>
          </w:p>
        </w:tc>
      </w:tr>
      <w:tr w:rsidR="006832C3" w:rsidTr="002576AD">
        <w:tc>
          <w:tcPr>
            <w:tcW w:w="3686" w:type="dxa"/>
          </w:tcPr>
          <w:p w:rsidR="006832C3" w:rsidRPr="004074FE" w:rsidRDefault="006832C3" w:rsidP="006832C3">
            <w:pPr>
              <w:spacing w:after="120"/>
              <w:jc w:val="both"/>
            </w:pPr>
            <w:r>
              <w:t>Ecritures d’ordre</w:t>
            </w:r>
          </w:p>
        </w:tc>
        <w:tc>
          <w:tcPr>
            <w:tcW w:w="1559" w:type="dxa"/>
          </w:tcPr>
          <w:p w:rsidR="006832C3" w:rsidRPr="004074FE" w:rsidRDefault="00EE417D" w:rsidP="00EE417D">
            <w:pPr>
              <w:spacing w:after="120"/>
              <w:jc w:val="right"/>
            </w:pPr>
            <w:r>
              <w:t>24</w:t>
            </w:r>
            <w:r w:rsidR="006832C3">
              <w:t> </w:t>
            </w:r>
            <w:r>
              <w:t>008</w:t>
            </w:r>
            <w:r w:rsidR="006832C3">
              <w:t xml:space="preserve"> €</w:t>
            </w:r>
          </w:p>
        </w:tc>
        <w:tc>
          <w:tcPr>
            <w:tcW w:w="3544" w:type="dxa"/>
          </w:tcPr>
          <w:p w:rsidR="006832C3" w:rsidRDefault="006832C3" w:rsidP="006832C3">
            <w:pPr>
              <w:spacing w:after="120"/>
              <w:jc w:val="both"/>
            </w:pPr>
          </w:p>
        </w:tc>
        <w:tc>
          <w:tcPr>
            <w:tcW w:w="1559" w:type="dxa"/>
          </w:tcPr>
          <w:p w:rsidR="006832C3" w:rsidRPr="004074FE" w:rsidRDefault="006832C3" w:rsidP="006832C3">
            <w:pPr>
              <w:spacing w:after="120"/>
              <w:jc w:val="both"/>
            </w:pPr>
          </w:p>
        </w:tc>
      </w:tr>
      <w:tr w:rsidR="006832C3" w:rsidRPr="00BC6B31" w:rsidTr="002576AD">
        <w:tc>
          <w:tcPr>
            <w:tcW w:w="3686" w:type="dxa"/>
          </w:tcPr>
          <w:p w:rsidR="006832C3" w:rsidRPr="00BC6B31" w:rsidRDefault="006832C3" w:rsidP="006832C3">
            <w:pPr>
              <w:spacing w:after="120"/>
              <w:jc w:val="both"/>
              <w:rPr>
                <w:b/>
              </w:rPr>
            </w:pPr>
            <w:r w:rsidRPr="00BC6B31">
              <w:rPr>
                <w:b/>
              </w:rPr>
              <w:t>TOTAL</w:t>
            </w:r>
          </w:p>
        </w:tc>
        <w:tc>
          <w:tcPr>
            <w:tcW w:w="1559" w:type="dxa"/>
          </w:tcPr>
          <w:p w:rsidR="006832C3" w:rsidRPr="00BC6B31" w:rsidRDefault="00EE417D" w:rsidP="00EE417D">
            <w:pPr>
              <w:spacing w:after="120"/>
              <w:jc w:val="right"/>
              <w:rPr>
                <w:b/>
              </w:rPr>
            </w:pPr>
            <w:r>
              <w:rPr>
                <w:b/>
              </w:rPr>
              <w:t>77 088.76</w:t>
            </w:r>
            <w:r w:rsidR="006832C3" w:rsidRPr="00BC6B31">
              <w:rPr>
                <w:b/>
              </w:rPr>
              <w:t xml:space="preserve"> €</w:t>
            </w:r>
          </w:p>
        </w:tc>
        <w:tc>
          <w:tcPr>
            <w:tcW w:w="3544" w:type="dxa"/>
          </w:tcPr>
          <w:p w:rsidR="006832C3" w:rsidRPr="00BC6B31" w:rsidRDefault="00BC6B31" w:rsidP="006832C3">
            <w:pPr>
              <w:spacing w:after="120"/>
              <w:jc w:val="both"/>
              <w:rPr>
                <w:b/>
              </w:rPr>
            </w:pPr>
            <w:r w:rsidRPr="00BC6B31">
              <w:rPr>
                <w:b/>
              </w:rPr>
              <w:t>TOTAL</w:t>
            </w:r>
          </w:p>
        </w:tc>
        <w:tc>
          <w:tcPr>
            <w:tcW w:w="1559" w:type="dxa"/>
          </w:tcPr>
          <w:p w:rsidR="006832C3" w:rsidRPr="00BC6B31" w:rsidRDefault="00926927" w:rsidP="00926927">
            <w:pPr>
              <w:spacing w:after="120"/>
              <w:jc w:val="both"/>
              <w:rPr>
                <w:b/>
              </w:rPr>
            </w:pPr>
            <w:r>
              <w:rPr>
                <w:b/>
              </w:rPr>
              <w:t>77 088.76</w:t>
            </w:r>
            <w:r w:rsidR="00BC6B31" w:rsidRPr="00BC6B31">
              <w:rPr>
                <w:b/>
              </w:rPr>
              <w:t xml:space="preserve"> €</w:t>
            </w:r>
          </w:p>
        </w:tc>
      </w:tr>
    </w:tbl>
    <w:p w:rsidR="00DF67AE" w:rsidRDefault="00DF67AE" w:rsidP="002F2DB8">
      <w:pPr>
        <w:spacing w:after="120" w:line="240" w:lineRule="auto"/>
        <w:jc w:val="both"/>
        <w:rPr>
          <w:sz w:val="24"/>
          <w:szCs w:val="24"/>
        </w:rPr>
      </w:pPr>
    </w:p>
    <w:p w:rsidR="00DF67AE" w:rsidRDefault="00DF67AE" w:rsidP="002F2DB8">
      <w:pPr>
        <w:spacing w:after="120" w:line="240" w:lineRule="auto"/>
        <w:jc w:val="both"/>
        <w:rPr>
          <w:sz w:val="24"/>
          <w:szCs w:val="24"/>
        </w:rPr>
      </w:pPr>
      <w:r>
        <w:rPr>
          <w:sz w:val="24"/>
          <w:szCs w:val="24"/>
        </w:rPr>
        <w:t>Les recettes de ce service proviennent des branchements au réseau d’assainissement (3000 € pour une maison neuve</w:t>
      </w:r>
      <w:r w:rsidR="002C51F9">
        <w:rPr>
          <w:sz w:val="24"/>
          <w:szCs w:val="24"/>
        </w:rPr>
        <w:t xml:space="preserve"> et 1400 € pour une construction </w:t>
      </w:r>
      <w:proofErr w:type="spellStart"/>
      <w:r w:rsidR="002C51F9">
        <w:rPr>
          <w:sz w:val="24"/>
          <w:szCs w:val="24"/>
        </w:rPr>
        <w:t>exixtante</w:t>
      </w:r>
      <w:proofErr w:type="spellEnd"/>
      <w:r>
        <w:rPr>
          <w:sz w:val="24"/>
          <w:szCs w:val="24"/>
        </w:rPr>
        <w:t>) et des redevances (</w:t>
      </w:r>
      <w:r w:rsidR="00926927">
        <w:rPr>
          <w:sz w:val="24"/>
          <w:szCs w:val="24"/>
        </w:rPr>
        <w:t>1</w:t>
      </w:r>
      <w:r>
        <w:rPr>
          <w:sz w:val="24"/>
          <w:szCs w:val="24"/>
        </w:rPr>
        <w:t>,</w:t>
      </w:r>
      <w:r w:rsidR="00926927">
        <w:rPr>
          <w:sz w:val="24"/>
          <w:szCs w:val="24"/>
        </w:rPr>
        <w:t>00</w:t>
      </w:r>
      <w:r>
        <w:rPr>
          <w:sz w:val="24"/>
          <w:szCs w:val="24"/>
        </w:rPr>
        <w:t xml:space="preserve"> € le m3 </w:t>
      </w:r>
      <w:r w:rsidR="00926927">
        <w:rPr>
          <w:sz w:val="24"/>
          <w:szCs w:val="24"/>
        </w:rPr>
        <w:t>e</w:t>
      </w:r>
      <w:r>
        <w:rPr>
          <w:sz w:val="24"/>
          <w:szCs w:val="24"/>
        </w:rPr>
        <w:t>t 19,</w:t>
      </w:r>
      <w:r w:rsidR="00926927">
        <w:rPr>
          <w:sz w:val="24"/>
          <w:szCs w:val="24"/>
        </w:rPr>
        <w:t>8</w:t>
      </w:r>
      <w:r>
        <w:rPr>
          <w:sz w:val="24"/>
          <w:szCs w:val="24"/>
        </w:rPr>
        <w:t>0 € par an pour l’abonnement</w:t>
      </w:r>
      <w:r w:rsidR="00926927">
        <w:rPr>
          <w:sz w:val="24"/>
          <w:szCs w:val="24"/>
        </w:rPr>
        <w:t>, tarif en vigueur au 14/0218</w:t>
      </w:r>
      <w:r>
        <w:rPr>
          <w:sz w:val="24"/>
          <w:szCs w:val="24"/>
        </w:rPr>
        <w:t>).</w:t>
      </w:r>
    </w:p>
    <w:p w:rsidR="00DF67AE" w:rsidRDefault="00DF67AE" w:rsidP="002F2DB8">
      <w:pPr>
        <w:spacing w:after="120" w:line="240" w:lineRule="auto"/>
        <w:jc w:val="both"/>
        <w:rPr>
          <w:sz w:val="24"/>
          <w:szCs w:val="24"/>
        </w:rPr>
      </w:pPr>
    </w:p>
    <w:p w:rsidR="00926927" w:rsidRDefault="00926927" w:rsidP="002F2DB8">
      <w:pPr>
        <w:spacing w:after="120" w:line="240" w:lineRule="auto"/>
        <w:jc w:val="both"/>
        <w:rPr>
          <w:sz w:val="24"/>
          <w:szCs w:val="24"/>
        </w:rPr>
      </w:pPr>
    </w:p>
    <w:p w:rsidR="00926927" w:rsidRDefault="00926927" w:rsidP="002F2DB8">
      <w:pPr>
        <w:spacing w:after="120" w:line="240" w:lineRule="auto"/>
        <w:jc w:val="both"/>
        <w:rPr>
          <w:sz w:val="24"/>
          <w:szCs w:val="24"/>
        </w:rPr>
      </w:pPr>
    </w:p>
    <w:p w:rsidR="00DF67AE" w:rsidRPr="00DF67AE" w:rsidRDefault="00DF67AE" w:rsidP="002F2DB8">
      <w:pPr>
        <w:spacing w:after="120" w:line="240" w:lineRule="auto"/>
        <w:jc w:val="both"/>
        <w:rPr>
          <w:b/>
          <w:sz w:val="24"/>
          <w:szCs w:val="24"/>
          <w:u w:val="single"/>
        </w:rPr>
      </w:pPr>
      <w:r w:rsidRPr="00DF67AE">
        <w:rPr>
          <w:b/>
          <w:sz w:val="24"/>
          <w:szCs w:val="24"/>
          <w:u w:val="single"/>
        </w:rPr>
        <w:t xml:space="preserve">Investissement : </w:t>
      </w:r>
    </w:p>
    <w:tbl>
      <w:tblPr>
        <w:tblStyle w:val="Grilledutableau"/>
        <w:tblW w:w="10348" w:type="dxa"/>
        <w:tblInd w:w="-714" w:type="dxa"/>
        <w:tblLook w:val="04A0" w:firstRow="1" w:lastRow="0" w:firstColumn="1" w:lastColumn="0" w:noHBand="0" w:noVBand="1"/>
      </w:tblPr>
      <w:tblGrid>
        <w:gridCol w:w="3686"/>
        <w:gridCol w:w="1559"/>
        <w:gridCol w:w="3544"/>
        <w:gridCol w:w="1559"/>
      </w:tblGrid>
      <w:tr w:rsidR="00DF67AE" w:rsidTr="002576AD">
        <w:tc>
          <w:tcPr>
            <w:tcW w:w="5245" w:type="dxa"/>
            <w:gridSpan w:val="2"/>
          </w:tcPr>
          <w:p w:rsidR="00DF67AE" w:rsidRDefault="00DF67AE" w:rsidP="002576AD">
            <w:pPr>
              <w:spacing w:after="120"/>
              <w:jc w:val="center"/>
              <w:rPr>
                <w:sz w:val="24"/>
                <w:szCs w:val="24"/>
              </w:rPr>
            </w:pPr>
            <w:r>
              <w:rPr>
                <w:sz w:val="24"/>
                <w:szCs w:val="24"/>
              </w:rPr>
              <w:t>DEPENSES</w:t>
            </w:r>
          </w:p>
        </w:tc>
        <w:tc>
          <w:tcPr>
            <w:tcW w:w="5103" w:type="dxa"/>
            <w:gridSpan w:val="2"/>
          </w:tcPr>
          <w:p w:rsidR="00DF67AE" w:rsidRDefault="00DF67AE" w:rsidP="002576AD">
            <w:pPr>
              <w:spacing w:after="120"/>
              <w:jc w:val="center"/>
              <w:rPr>
                <w:sz w:val="24"/>
                <w:szCs w:val="24"/>
              </w:rPr>
            </w:pPr>
            <w:r>
              <w:rPr>
                <w:sz w:val="24"/>
                <w:szCs w:val="24"/>
              </w:rPr>
              <w:t>RECETTES</w:t>
            </w:r>
          </w:p>
        </w:tc>
      </w:tr>
      <w:tr w:rsidR="00DF67AE" w:rsidTr="002576AD">
        <w:tc>
          <w:tcPr>
            <w:tcW w:w="3686" w:type="dxa"/>
          </w:tcPr>
          <w:p w:rsidR="00DF67AE" w:rsidRPr="004074FE" w:rsidRDefault="00DF67AE" w:rsidP="002576AD">
            <w:pPr>
              <w:spacing w:after="120"/>
              <w:jc w:val="both"/>
            </w:pPr>
            <w:r>
              <w:t>Capital des emprunts</w:t>
            </w:r>
          </w:p>
        </w:tc>
        <w:tc>
          <w:tcPr>
            <w:tcW w:w="1559" w:type="dxa"/>
          </w:tcPr>
          <w:p w:rsidR="00DF67AE" w:rsidRPr="004074FE" w:rsidRDefault="00BC6B31" w:rsidP="00926927">
            <w:pPr>
              <w:spacing w:after="120"/>
              <w:jc w:val="right"/>
            </w:pPr>
            <w:r>
              <w:t>3 </w:t>
            </w:r>
            <w:r w:rsidR="00926927">
              <w:t>613</w:t>
            </w:r>
            <w:r>
              <w:t xml:space="preserve"> €</w:t>
            </w:r>
          </w:p>
        </w:tc>
        <w:tc>
          <w:tcPr>
            <w:tcW w:w="3544" w:type="dxa"/>
          </w:tcPr>
          <w:p w:rsidR="00DF67AE" w:rsidRPr="004074FE" w:rsidRDefault="00DF67AE" w:rsidP="002576AD">
            <w:pPr>
              <w:spacing w:after="120"/>
              <w:jc w:val="both"/>
            </w:pPr>
            <w:r>
              <w:t>Virement fonctionnement</w:t>
            </w:r>
          </w:p>
        </w:tc>
        <w:tc>
          <w:tcPr>
            <w:tcW w:w="1559" w:type="dxa"/>
          </w:tcPr>
          <w:p w:rsidR="00DF67AE" w:rsidRPr="004074FE" w:rsidRDefault="00926927" w:rsidP="00926927">
            <w:pPr>
              <w:spacing w:after="120"/>
              <w:jc w:val="right"/>
            </w:pPr>
            <w:r>
              <w:t>2 020.76</w:t>
            </w:r>
            <w:r w:rsidR="00BC6B31">
              <w:t xml:space="preserve"> €</w:t>
            </w:r>
          </w:p>
        </w:tc>
      </w:tr>
      <w:tr w:rsidR="00DF67AE" w:rsidTr="002576AD">
        <w:tc>
          <w:tcPr>
            <w:tcW w:w="3686" w:type="dxa"/>
          </w:tcPr>
          <w:p w:rsidR="00DF67AE" w:rsidRPr="004074FE" w:rsidRDefault="00DF67AE" w:rsidP="002576AD">
            <w:pPr>
              <w:spacing w:after="120"/>
              <w:jc w:val="both"/>
            </w:pPr>
            <w:r>
              <w:t>Etude</w:t>
            </w:r>
          </w:p>
        </w:tc>
        <w:tc>
          <w:tcPr>
            <w:tcW w:w="1559" w:type="dxa"/>
          </w:tcPr>
          <w:p w:rsidR="00DF67AE" w:rsidRPr="004074FE" w:rsidRDefault="00926927" w:rsidP="00926927">
            <w:pPr>
              <w:spacing w:after="120"/>
              <w:jc w:val="right"/>
            </w:pPr>
            <w:r>
              <w:t>1 860</w:t>
            </w:r>
            <w:r w:rsidR="00BC6B31">
              <w:t xml:space="preserve"> €</w:t>
            </w:r>
          </w:p>
        </w:tc>
        <w:tc>
          <w:tcPr>
            <w:tcW w:w="3544" w:type="dxa"/>
          </w:tcPr>
          <w:p w:rsidR="00DF67AE" w:rsidRPr="004074FE" w:rsidRDefault="00DF67AE" w:rsidP="002576AD">
            <w:pPr>
              <w:spacing w:after="120"/>
              <w:jc w:val="both"/>
            </w:pPr>
            <w:r>
              <w:t>Réserves</w:t>
            </w:r>
          </w:p>
        </w:tc>
        <w:tc>
          <w:tcPr>
            <w:tcW w:w="1559" w:type="dxa"/>
          </w:tcPr>
          <w:p w:rsidR="00DF67AE" w:rsidRPr="004074FE" w:rsidRDefault="00926927" w:rsidP="00926927">
            <w:pPr>
              <w:spacing w:after="120"/>
              <w:jc w:val="right"/>
            </w:pPr>
            <w:r>
              <w:t>34 378.56</w:t>
            </w:r>
            <w:r w:rsidR="00BC6B31">
              <w:t xml:space="preserve"> €</w:t>
            </w:r>
          </w:p>
        </w:tc>
      </w:tr>
      <w:tr w:rsidR="00DF67AE" w:rsidTr="002576AD">
        <w:tc>
          <w:tcPr>
            <w:tcW w:w="3686" w:type="dxa"/>
          </w:tcPr>
          <w:p w:rsidR="00DF67AE" w:rsidRPr="004074FE" w:rsidRDefault="00DF67AE" w:rsidP="002576AD">
            <w:pPr>
              <w:spacing w:after="120"/>
              <w:jc w:val="both"/>
            </w:pPr>
            <w:r>
              <w:t>Réseaux d’assainissement</w:t>
            </w:r>
          </w:p>
        </w:tc>
        <w:tc>
          <w:tcPr>
            <w:tcW w:w="1559" w:type="dxa"/>
          </w:tcPr>
          <w:p w:rsidR="00DF67AE" w:rsidRPr="004074FE" w:rsidRDefault="00BC6B31" w:rsidP="00926927">
            <w:pPr>
              <w:spacing w:after="120"/>
              <w:jc w:val="right"/>
            </w:pPr>
            <w:r>
              <w:t>3</w:t>
            </w:r>
            <w:r w:rsidR="00926927">
              <w:t>0 472.54</w:t>
            </w:r>
            <w:r>
              <w:t xml:space="preserve"> €</w:t>
            </w:r>
          </w:p>
        </w:tc>
        <w:tc>
          <w:tcPr>
            <w:tcW w:w="3544" w:type="dxa"/>
          </w:tcPr>
          <w:p w:rsidR="00DF67AE" w:rsidRPr="004074FE" w:rsidRDefault="00DF67AE" w:rsidP="002576AD">
            <w:pPr>
              <w:spacing w:after="120"/>
              <w:jc w:val="both"/>
            </w:pPr>
            <w:r>
              <w:t>Excédent reporté</w:t>
            </w:r>
          </w:p>
        </w:tc>
        <w:tc>
          <w:tcPr>
            <w:tcW w:w="1559" w:type="dxa"/>
          </w:tcPr>
          <w:p w:rsidR="00DF67AE" w:rsidRPr="004074FE" w:rsidRDefault="00BC6B31" w:rsidP="00926927">
            <w:pPr>
              <w:spacing w:after="120"/>
              <w:jc w:val="right"/>
            </w:pPr>
            <w:r>
              <w:t>2</w:t>
            </w:r>
            <w:r w:rsidR="00926927">
              <w:t>7 </w:t>
            </w:r>
            <w:r>
              <w:t>6</w:t>
            </w:r>
            <w:r w:rsidR="00926927">
              <w:t>26.98</w:t>
            </w:r>
            <w:r>
              <w:t xml:space="preserve"> €</w:t>
            </w:r>
          </w:p>
        </w:tc>
      </w:tr>
      <w:tr w:rsidR="00DF67AE" w:rsidTr="002576AD">
        <w:tc>
          <w:tcPr>
            <w:tcW w:w="3686" w:type="dxa"/>
          </w:tcPr>
          <w:p w:rsidR="00DF67AE" w:rsidRPr="004074FE" w:rsidRDefault="00DF67AE" w:rsidP="002576AD">
            <w:pPr>
              <w:spacing w:after="120"/>
              <w:jc w:val="both"/>
            </w:pPr>
            <w:r>
              <w:t>Matériel industriel</w:t>
            </w:r>
          </w:p>
        </w:tc>
        <w:tc>
          <w:tcPr>
            <w:tcW w:w="1559" w:type="dxa"/>
          </w:tcPr>
          <w:p w:rsidR="00DF67AE" w:rsidRPr="004074FE" w:rsidRDefault="00926927" w:rsidP="00926927">
            <w:pPr>
              <w:spacing w:after="120"/>
              <w:jc w:val="right"/>
            </w:pPr>
            <w:r>
              <w:t>40</w:t>
            </w:r>
            <w:r w:rsidR="00BC6B31">
              <w:t> 000 €</w:t>
            </w:r>
          </w:p>
        </w:tc>
        <w:tc>
          <w:tcPr>
            <w:tcW w:w="3544" w:type="dxa"/>
          </w:tcPr>
          <w:p w:rsidR="00DF67AE" w:rsidRPr="004074FE" w:rsidRDefault="00DF67AE" w:rsidP="002576AD">
            <w:pPr>
              <w:spacing w:after="120"/>
              <w:jc w:val="both"/>
            </w:pPr>
            <w:r>
              <w:t>Subventions</w:t>
            </w:r>
          </w:p>
        </w:tc>
        <w:tc>
          <w:tcPr>
            <w:tcW w:w="1559" w:type="dxa"/>
          </w:tcPr>
          <w:p w:rsidR="00DF67AE" w:rsidRPr="004074FE" w:rsidRDefault="00DF67AE" w:rsidP="00BC6B31">
            <w:pPr>
              <w:spacing w:after="120"/>
              <w:jc w:val="right"/>
            </w:pPr>
          </w:p>
        </w:tc>
      </w:tr>
      <w:tr w:rsidR="00DF67AE" w:rsidTr="002576AD">
        <w:tc>
          <w:tcPr>
            <w:tcW w:w="3686" w:type="dxa"/>
          </w:tcPr>
          <w:p w:rsidR="00DF67AE" w:rsidRPr="004074FE" w:rsidRDefault="00DF67AE" w:rsidP="002576AD">
            <w:pPr>
              <w:spacing w:after="120"/>
              <w:jc w:val="both"/>
            </w:pPr>
            <w:r>
              <w:t>Ecriture d’ordre</w:t>
            </w:r>
          </w:p>
        </w:tc>
        <w:tc>
          <w:tcPr>
            <w:tcW w:w="1559" w:type="dxa"/>
          </w:tcPr>
          <w:p w:rsidR="00DF67AE" w:rsidRPr="004074FE" w:rsidRDefault="00BC6B31" w:rsidP="00926927">
            <w:pPr>
              <w:spacing w:after="120"/>
              <w:jc w:val="right"/>
            </w:pPr>
            <w:r>
              <w:t>1</w:t>
            </w:r>
            <w:r w:rsidR="00926927">
              <w:t>2 088.76</w:t>
            </w:r>
            <w:r>
              <w:t xml:space="preserve"> €</w:t>
            </w:r>
          </w:p>
        </w:tc>
        <w:tc>
          <w:tcPr>
            <w:tcW w:w="3544" w:type="dxa"/>
          </w:tcPr>
          <w:p w:rsidR="00DF67AE" w:rsidRPr="004074FE" w:rsidRDefault="00DF67AE" w:rsidP="002576AD">
            <w:pPr>
              <w:spacing w:after="120"/>
              <w:jc w:val="both"/>
            </w:pPr>
            <w:r>
              <w:t>Ecritures d’ordre</w:t>
            </w:r>
          </w:p>
        </w:tc>
        <w:tc>
          <w:tcPr>
            <w:tcW w:w="1559" w:type="dxa"/>
          </w:tcPr>
          <w:p w:rsidR="00DF67AE" w:rsidRPr="004074FE" w:rsidRDefault="00926927" w:rsidP="00926927">
            <w:pPr>
              <w:spacing w:after="120"/>
              <w:jc w:val="right"/>
            </w:pPr>
            <w:r>
              <w:t>24</w:t>
            </w:r>
            <w:r w:rsidR="00BC6B31">
              <w:t> </w:t>
            </w:r>
            <w:r>
              <w:t>008</w:t>
            </w:r>
            <w:r w:rsidR="00BC6B31">
              <w:t xml:space="preserve"> €</w:t>
            </w:r>
          </w:p>
        </w:tc>
      </w:tr>
      <w:tr w:rsidR="00BC6B31" w:rsidRPr="00BC6B31" w:rsidTr="002576AD">
        <w:tc>
          <w:tcPr>
            <w:tcW w:w="3686" w:type="dxa"/>
          </w:tcPr>
          <w:p w:rsidR="00BC6B31" w:rsidRPr="00BC6B31" w:rsidRDefault="00BC6B31" w:rsidP="002576AD">
            <w:pPr>
              <w:spacing w:after="120"/>
              <w:jc w:val="both"/>
              <w:rPr>
                <w:b/>
              </w:rPr>
            </w:pPr>
            <w:r w:rsidRPr="00BC6B31">
              <w:rPr>
                <w:b/>
              </w:rPr>
              <w:t>TOTAL</w:t>
            </w:r>
          </w:p>
        </w:tc>
        <w:tc>
          <w:tcPr>
            <w:tcW w:w="1559" w:type="dxa"/>
          </w:tcPr>
          <w:p w:rsidR="00BC6B31" w:rsidRPr="00BC6B31" w:rsidRDefault="00BC6B31" w:rsidP="00926927">
            <w:pPr>
              <w:spacing w:after="120"/>
              <w:jc w:val="right"/>
              <w:rPr>
                <w:b/>
              </w:rPr>
            </w:pPr>
            <w:r w:rsidRPr="00BC6B31">
              <w:rPr>
                <w:b/>
              </w:rPr>
              <w:t xml:space="preserve"> </w:t>
            </w:r>
            <w:r w:rsidR="00926927">
              <w:rPr>
                <w:b/>
              </w:rPr>
              <w:t>8</w:t>
            </w:r>
            <w:r w:rsidRPr="00BC6B31">
              <w:rPr>
                <w:b/>
              </w:rPr>
              <w:t>8</w:t>
            </w:r>
            <w:r w:rsidR="00926927">
              <w:rPr>
                <w:b/>
              </w:rPr>
              <w:t> 034.30</w:t>
            </w:r>
            <w:r w:rsidRPr="00BC6B31">
              <w:rPr>
                <w:b/>
              </w:rPr>
              <w:t xml:space="preserve"> €</w:t>
            </w:r>
          </w:p>
        </w:tc>
        <w:tc>
          <w:tcPr>
            <w:tcW w:w="3544" w:type="dxa"/>
          </w:tcPr>
          <w:p w:rsidR="00BC6B31" w:rsidRPr="00BC6B31" w:rsidRDefault="00BC6B31" w:rsidP="002576AD">
            <w:pPr>
              <w:spacing w:after="120"/>
              <w:jc w:val="both"/>
              <w:rPr>
                <w:b/>
              </w:rPr>
            </w:pPr>
            <w:r w:rsidRPr="00BC6B31">
              <w:rPr>
                <w:b/>
              </w:rPr>
              <w:t>TOTAL</w:t>
            </w:r>
          </w:p>
        </w:tc>
        <w:tc>
          <w:tcPr>
            <w:tcW w:w="1559" w:type="dxa"/>
          </w:tcPr>
          <w:p w:rsidR="00BC6B31" w:rsidRPr="00BC6B31" w:rsidRDefault="00926927" w:rsidP="00926927">
            <w:pPr>
              <w:spacing w:after="120"/>
              <w:jc w:val="right"/>
              <w:rPr>
                <w:b/>
              </w:rPr>
            </w:pPr>
            <w:r>
              <w:rPr>
                <w:b/>
              </w:rPr>
              <w:t>88 034.30</w:t>
            </w:r>
            <w:r w:rsidR="00BC6B31" w:rsidRPr="00BC6B31">
              <w:rPr>
                <w:b/>
              </w:rPr>
              <w:t xml:space="preserve"> €</w:t>
            </w:r>
          </w:p>
        </w:tc>
      </w:tr>
    </w:tbl>
    <w:p w:rsidR="00DF67AE" w:rsidRDefault="00DF67AE" w:rsidP="002F2DB8">
      <w:pPr>
        <w:spacing w:after="120" w:line="240" w:lineRule="auto"/>
        <w:jc w:val="both"/>
        <w:rPr>
          <w:sz w:val="24"/>
          <w:szCs w:val="24"/>
        </w:rPr>
      </w:pPr>
    </w:p>
    <w:p w:rsidR="00592EE8" w:rsidRDefault="00592EE8" w:rsidP="002F2DB8">
      <w:pPr>
        <w:spacing w:after="120" w:line="240" w:lineRule="auto"/>
        <w:jc w:val="both"/>
        <w:rPr>
          <w:sz w:val="24"/>
          <w:szCs w:val="24"/>
        </w:rPr>
      </w:pPr>
      <w:r>
        <w:rPr>
          <w:sz w:val="24"/>
          <w:szCs w:val="24"/>
        </w:rPr>
        <w:t>Deux emprunts restent à régler pour le service assainissement</w:t>
      </w:r>
    </w:p>
    <w:p w:rsidR="00592EE8" w:rsidRDefault="00592EE8" w:rsidP="00592EE8">
      <w:pPr>
        <w:pStyle w:val="Paragraphedeliste"/>
        <w:numPr>
          <w:ilvl w:val="0"/>
          <w:numId w:val="1"/>
        </w:numPr>
        <w:spacing w:after="120" w:line="240" w:lineRule="auto"/>
        <w:jc w:val="both"/>
        <w:rPr>
          <w:sz w:val="24"/>
          <w:szCs w:val="24"/>
        </w:rPr>
      </w:pPr>
      <w:r>
        <w:rPr>
          <w:sz w:val="24"/>
          <w:szCs w:val="24"/>
        </w:rPr>
        <w:t>L’un pour les tr</w:t>
      </w:r>
      <w:r w:rsidR="00BC6B31">
        <w:rPr>
          <w:sz w:val="24"/>
          <w:szCs w:val="24"/>
        </w:rPr>
        <w:t xml:space="preserve">avaux de réseau du quartier de </w:t>
      </w:r>
      <w:proofErr w:type="spellStart"/>
      <w:r w:rsidR="00BC6B31">
        <w:rPr>
          <w:sz w:val="24"/>
          <w:szCs w:val="24"/>
        </w:rPr>
        <w:t>C</w:t>
      </w:r>
      <w:r>
        <w:rPr>
          <w:sz w:val="24"/>
          <w:szCs w:val="24"/>
        </w:rPr>
        <w:t>hazette</w:t>
      </w:r>
      <w:proofErr w:type="spellEnd"/>
      <w:r>
        <w:rPr>
          <w:sz w:val="24"/>
          <w:szCs w:val="24"/>
        </w:rPr>
        <w:t xml:space="preserve">, </w:t>
      </w:r>
      <w:r w:rsidR="00926927">
        <w:rPr>
          <w:sz w:val="24"/>
          <w:szCs w:val="24"/>
        </w:rPr>
        <w:t>où il reste 13 annuités à payer</w:t>
      </w:r>
      <w:r>
        <w:rPr>
          <w:sz w:val="24"/>
          <w:szCs w:val="24"/>
        </w:rPr>
        <w:t>,</w:t>
      </w:r>
    </w:p>
    <w:p w:rsidR="00592EE8" w:rsidRDefault="00592EE8" w:rsidP="00592EE8">
      <w:pPr>
        <w:pStyle w:val="Paragraphedeliste"/>
        <w:numPr>
          <w:ilvl w:val="0"/>
          <w:numId w:val="1"/>
        </w:numPr>
        <w:spacing w:after="120" w:line="240" w:lineRule="auto"/>
        <w:jc w:val="both"/>
        <w:rPr>
          <w:sz w:val="24"/>
          <w:szCs w:val="24"/>
        </w:rPr>
      </w:pPr>
      <w:r>
        <w:rPr>
          <w:sz w:val="24"/>
          <w:szCs w:val="24"/>
        </w:rPr>
        <w:t xml:space="preserve">L’autre pour le quartier de </w:t>
      </w:r>
      <w:proofErr w:type="spellStart"/>
      <w:r>
        <w:rPr>
          <w:sz w:val="24"/>
          <w:szCs w:val="24"/>
        </w:rPr>
        <w:t>Champferratier</w:t>
      </w:r>
      <w:proofErr w:type="spellEnd"/>
      <w:r w:rsidR="00F6748C">
        <w:rPr>
          <w:sz w:val="24"/>
          <w:szCs w:val="24"/>
        </w:rPr>
        <w:t xml:space="preserve"> </w:t>
      </w:r>
      <w:r w:rsidR="00926927">
        <w:rPr>
          <w:sz w:val="24"/>
          <w:szCs w:val="24"/>
        </w:rPr>
        <w:t>où il reste 12 annuités à payer</w:t>
      </w:r>
      <w:r>
        <w:rPr>
          <w:sz w:val="24"/>
          <w:szCs w:val="24"/>
        </w:rPr>
        <w:t>.</w:t>
      </w:r>
    </w:p>
    <w:p w:rsidR="00926927" w:rsidRDefault="00926927" w:rsidP="00926927">
      <w:pPr>
        <w:spacing w:after="120" w:line="240" w:lineRule="auto"/>
        <w:jc w:val="both"/>
        <w:rPr>
          <w:sz w:val="24"/>
          <w:szCs w:val="24"/>
        </w:rPr>
      </w:pPr>
    </w:p>
    <w:p w:rsidR="00926927" w:rsidRDefault="00926927" w:rsidP="00926927">
      <w:pPr>
        <w:spacing w:after="120" w:line="240" w:lineRule="auto"/>
        <w:jc w:val="both"/>
        <w:rPr>
          <w:sz w:val="24"/>
          <w:szCs w:val="24"/>
        </w:rPr>
      </w:pPr>
      <w:r w:rsidRPr="00926927">
        <w:rPr>
          <w:b/>
          <w:sz w:val="24"/>
          <w:szCs w:val="24"/>
          <w:u w:val="single"/>
        </w:rPr>
        <w:t xml:space="preserve">Projet assainissement Eaux usées et eaux pluviales Les </w:t>
      </w:r>
      <w:proofErr w:type="spellStart"/>
      <w:r w:rsidRPr="00926927">
        <w:rPr>
          <w:b/>
          <w:sz w:val="24"/>
          <w:szCs w:val="24"/>
          <w:u w:val="single"/>
        </w:rPr>
        <w:t>Grads</w:t>
      </w:r>
      <w:proofErr w:type="spellEnd"/>
      <w:r>
        <w:rPr>
          <w:sz w:val="24"/>
          <w:szCs w:val="24"/>
        </w:rPr>
        <w:t> :</w:t>
      </w:r>
    </w:p>
    <w:p w:rsidR="00926927" w:rsidRDefault="00BA3118" w:rsidP="00926927">
      <w:pPr>
        <w:spacing w:after="120" w:line="240" w:lineRule="auto"/>
        <w:jc w:val="both"/>
        <w:rPr>
          <w:sz w:val="24"/>
          <w:szCs w:val="24"/>
        </w:rPr>
      </w:pPr>
      <w:r>
        <w:rPr>
          <w:sz w:val="24"/>
          <w:szCs w:val="24"/>
        </w:rPr>
        <w:t>L</w:t>
      </w:r>
      <w:r w:rsidR="00926927">
        <w:rPr>
          <w:sz w:val="24"/>
          <w:szCs w:val="24"/>
        </w:rPr>
        <w:t xml:space="preserve">a collectivité est en attente des réponses de subvention pour les travaux d’assainissement du quartier Les </w:t>
      </w:r>
      <w:proofErr w:type="spellStart"/>
      <w:r w:rsidR="00926927">
        <w:rPr>
          <w:sz w:val="24"/>
          <w:szCs w:val="24"/>
        </w:rPr>
        <w:t>Grads</w:t>
      </w:r>
      <w:proofErr w:type="spellEnd"/>
      <w:r w:rsidR="00926927">
        <w:rPr>
          <w:sz w:val="24"/>
          <w:szCs w:val="24"/>
        </w:rPr>
        <w:t>.</w:t>
      </w:r>
    </w:p>
    <w:p w:rsidR="00926927" w:rsidRDefault="00926927" w:rsidP="00BA3118">
      <w:pPr>
        <w:spacing w:after="0" w:line="240" w:lineRule="auto"/>
        <w:jc w:val="both"/>
        <w:rPr>
          <w:sz w:val="24"/>
          <w:szCs w:val="24"/>
        </w:rPr>
      </w:pPr>
      <w:r>
        <w:rPr>
          <w:sz w:val="24"/>
          <w:szCs w:val="24"/>
        </w:rPr>
        <w:t xml:space="preserve">Une injonction  a été donnée par les services de l’Etat, suite au Plan de Prévention des Risques, </w:t>
      </w:r>
    </w:p>
    <w:p w:rsidR="00926927" w:rsidRDefault="00926927" w:rsidP="00926927">
      <w:pPr>
        <w:spacing w:after="120" w:line="240" w:lineRule="auto"/>
        <w:jc w:val="both"/>
        <w:rPr>
          <w:sz w:val="24"/>
          <w:szCs w:val="24"/>
        </w:rPr>
      </w:pPr>
      <w:proofErr w:type="gramStart"/>
      <w:r>
        <w:rPr>
          <w:sz w:val="24"/>
          <w:szCs w:val="24"/>
        </w:rPr>
        <w:t>pour</w:t>
      </w:r>
      <w:proofErr w:type="gramEnd"/>
      <w:r>
        <w:rPr>
          <w:sz w:val="24"/>
          <w:szCs w:val="24"/>
        </w:rPr>
        <w:t xml:space="preserve"> </w:t>
      </w:r>
      <w:r w:rsidR="00BA3118">
        <w:rPr>
          <w:sz w:val="24"/>
          <w:szCs w:val="24"/>
        </w:rPr>
        <w:t>évacuer</w:t>
      </w:r>
      <w:r>
        <w:rPr>
          <w:sz w:val="24"/>
          <w:szCs w:val="24"/>
        </w:rPr>
        <w:t xml:space="preserve"> les eaux usées et les eaux usées de ce secteur,</w:t>
      </w:r>
      <w:r w:rsidR="002C51F9">
        <w:rPr>
          <w:sz w:val="24"/>
          <w:szCs w:val="24"/>
        </w:rPr>
        <w:t xml:space="preserve"> la commune </w:t>
      </w:r>
      <w:r>
        <w:rPr>
          <w:sz w:val="24"/>
          <w:szCs w:val="24"/>
        </w:rPr>
        <w:t xml:space="preserve">a un délai de 5 ans à partir de 2015 pour réaliser ces travaux. </w:t>
      </w:r>
    </w:p>
    <w:p w:rsidR="00926927" w:rsidRDefault="00926927" w:rsidP="00926927">
      <w:pPr>
        <w:spacing w:after="120" w:line="240" w:lineRule="auto"/>
        <w:jc w:val="both"/>
        <w:rPr>
          <w:sz w:val="24"/>
          <w:szCs w:val="24"/>
        </w:rPr>
      </w:pPr>
      <w:r>
        <w:rPr>
          <w:sz w:val="24"/>
          <w:szCs w:val="24"/>
        </w:rPr>
        <w:t xml:space="preserve">La solution retenue consiste à créer une station d’épuration spécifique à cette zone avec un lit planté de roseaux </w:t>
      </w:r>
      <w:r w:rsidR="002C51F9">
        <w:rPr>
          <w:sz w:val="24"/>
          <w:szCs w:val="24"/>
        </w:rPr>
        <w:t>de 75 Equivalent</w:t>
      </w:r>
      <w:bookmarkStart w:id="0" w:name="_GoBack"/>
      <w:bookmarkEnd w:id="0"/>
      <w:r w:rsidR="002C51F9">
        <w:rPr>
          <w:sz w:val="24"/>
          <w:szCs w:val="24"/>
        </w:rPr>
        <w:t xml:space="preserve"> Habitants </w:t>
      </w:r>
      <w:r>
        <w:rPr>
          <w:sz w:val="24"/>
          <w:szCs w:val="24"/>
        </w:rPr>
        <w:t xml:space="preserve">et de créer un réseau d’eaux pluviales. </w:t>
      </w:r>
    </w:p>
    <w:p w:rsidR="00926927" w:rsidRDefault="00926927" w:rsidP="00BA3118">
      <w:pPr>
        <w:spacing w:after="0" w:line="240" w:lineRule="auto"/>
        <w:jc w:val="both"/>
        <w:rPr>
          <w:sz w:val="24"/>
          <w:szCs w:val="24"/>
        </w:rPr>
      </w:pPr>
      <w:r>
        <w:rPr>
          <w:sz w:val="24"/>
          <w:szCs w:val="24"/>
        </w:rPr>
        <w:t>Le coût prévisionnel est de 1</w:t>
      </w:r>
      <w:r w:rsidR="00BA3118">
        <w:rPr>
          <w:sz w:val="24"/>
          <w:szCs w:val="24"/>
        </w:rPr>
        <w:t> </w:t>
      </w:r>
      <w:r>
        <w:rPr>
          <w:sz w:val="24"/>
          <w:szCs w:val="24"/>
        </w:rPr>
        <w:t>820</w:t>
      </w:r>
      <w:r w:rsidR="00BA3118">
        <w:rPr>
          <w:sz w:val="24"/>
          <w:szCs w:val="24"/>
        </w:rPr>
        <w:t xml:space="preserve"> </w:t>
      </w:r>
      <w:r>
        <w:rPr>
          <w:sz w:val="24"/>
          <w:szCs w:val="24"/>
        </w:rPr>
        <w:t>000 Euros HT, tous les partenaires financiers ont été sollicités</w:t>
      </w:r>
    </w:p>
    <w:p w:rsidR="00926927" w:rsidRPr="00926927" w:rsidRDefault="00926927" w:rsidP="00926927">
      <w:pPr>
        <w:spacing w:after="120" w:line="240" w:lineRule="auto"/>
        <w:jc w:val="both"/>
        <w:rPr>
          <w:sz w:val="24"/>
          <w:szCs w:val="24"/>
        </w:rPr>
      </w:pPr>
      <w:r>
        <w:rPr>
          <w:sz w:val="24"/>
          <w:szCs w:val="24"/>
        </w:rPr>
        <w:t>(Etat, Région, Département, Agence de l’Eau) mais la collectivité ne pourra pas réaliser ces travaux sans un minimum de 80 % de subvention.</w:t>
      </w:r>
    </w:p>
    <w:sectPr w:rsidR="00926927" w:rsidRPr="00926927" w:rsidSect="0075763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52F1C"/>
    <w:multiLevelType w:val="hybridMultilevel"/>
    <w:tmpl w:val="F476F220"/>
    <w:lvl w:ilvl="0" w:tplc="26D401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2A"/>
    <w:rsid w:val="00012568"/>
    <w:rsid w:val="00055C86"/>
    <w:rsid w:val="000E6320"/>
    <w:rsid w:val="0017294E"/>
    <w:rsid w:val="001B5267"/>
    <w:rsid w:val="001B7ABB"/>
    <w:rsid w:val="00210BC5"/>
    <w:rsid w:val="00240425"/>
    <w:rsid w:val="0024351C"/>
    <w:rsid w:val="00283A4B"/>
    <w:rsid w:val="002C51F9"/>
    <w:rsid w:val="002F2DB8"/>
    <w:rsid w:val="00346898"/>
    <w:rsid w:val="004074FE"/>
    <w:rsid w:val="00476399"/>
    <w:rsid w:val="00571D3E"/>
    <w:rsid w:val="00592EE8"/>
    <w:rsid w:val="005B5BB2"/>
    <w:rsid w:val="00617009"/>
    <w:rsid w:val="00652F2A"/>
    <w:rsid w:val="006832C3"/>
    <w:rsid w:val="00701CD0"/>
    <w:rsid w:val="0075763B"/>
    <w:rsid w:val="00846D10"/>
    <w:rsid w:val="00926927"/>
    <w:rsid w:val="009F020D"/>
    <w:rsid w:val="00A05504"/>
    <w:rsid w:val="00A47CD2"/>
    <w:rsid w:val="00A91E38"/>
    <w:rsid w:val="00BA3118"/>
    <w:rsid w:val="00BC6B31"/>
    <w:rsid w:val="00CE7478"/>
    <w:rsid w:val="00D27B8B"/>
    <w:rsid w:val="00DA7142"/>
    <w:rsid w:val="00DE1C62"/>
    <w:rsid w:val="00DF67AE"/>
    <w:rsid w:val="00E25771"/>
    <w:rsid w:val="00EE417D"/>
    <w:rsid w:val="00EF6DBC"/>
    <w:rsid w:val="00F334F6"/>
    <w:rsid w:val="00F67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B1E1F-9CD7-4A20-806E-7E3CD6BC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94E"/>
    <w:pPr>
      <w:ind w:left="720"/>
      <w:contextualSpacing/>
    </w:pPr>
  </w:style>
  <w:style w:type="table" w:styleId="Grilledutableau">
    <w:name w:val="Table Grid"/>
    <w:basedOn w:val="TableauNormal"/>
    <w:uiPriority w:val="39"/>
    <w:rsid w:val="00A9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74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1399</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St Symphorien</dc:creator>
  <cp:keywords/>
  <dc:description/>
  <cp:lastModifiedBy>Mairie</cp:lastModifiedBy>
  <cp:revision>5</cp:revision>
  <cp:lastPrinted>2019-04-03T08:33:00Z</cp:lastPrinted>
  <dcterms:created xsi:type="dcterms:W3CDTF">2019-04-03T07:36:00Z</dcterms:created>
  <dcterms:modified xsi:type="dcterms:W3CDTF">2019-04-03T08:58:00Z</dcterms:modified>
</cp:coreProperties>
</file>